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pPr>
      <w:r>
        <w:rPr/>
        <w:drawing>
          <wp:anchor distT="0" distB="0" distL="0" distR="0" allowOverlap="1" layoutInCell="1" locked="0" behindDoc="0" simplePos="0" relativeHeight="15729664">
            <wp:simplePos x="0" y="0"/>
            <wp:positionH relativeFrom="page">
              <wp:posOffset>0</wp:posOffset>
            </wp:positionH>
            <wp:positionV relativeFrom="page">
              <wp:posOffset>10112905</wp:posOffset>
            </wp:positionV>
            <wp:extent cx="7560360" cy="57909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7560360" cy="579094"/>
                    </a:xfrm>
                    <a:prstGeom prst="rect">
                      <a:avLst/>
                    </a:prstGeom>
                  </pic:spPr>
                </pic:pic>
              </a:graphicData>
            </a:graphic>
          </wp:anchor>
        </w:drawing>
      </w:r>
    </w:p>
    <w:p>
      <w:pPr>
        <w:pStyle w:val="BodyText"/>
      </w:pPr>
    </w:p>
    <w:p>
      <w:pPr>
        <w:pStyle w:val="BodyText"/>
        <w:spacing w:before="240"/>
      </w:pPr>
    </w:p>
    <w:p>
      <w:pPr>
        <w:spacing w:line="362" w:lineRule="auto" w:before="0"/>
        <w:ind w:left="7803" w:right="141" w:hanging="138"/>
        <w:jc w:val="right"/>
        <w:rPr>
          <w:rFonts w:ascii="Cambria"/>
          <w:b/>
          <w:sz w:val="24"/>
        </w:rPr>
      </w:pPr>
      <w:r>
        <w:rPr>
          <w:rFonts w:ascii="Cambria"/>
          <w:b/>
          <w:sz w:val="24"/>
        </w:rPr>
        <w:drawing>
          <wp:anchor distT="0" distB="0" distL="0" distR="0" allowOverlap="1" layoutInCell="1" locked="0" behindDoc="0" simplePos="0" relativeHeight="15729152">
            <wp:simplePos x="0" y="0"/>
            <wp:positionH relativeFrom="page">
              <wp:posOffset>1529117</wp:posOffset>
            </wp:positionH>
            <wp:positionV relativeFrom="paragraph">
              <wp:posOffset>-677977</wp:posOffset>
            </wp:positionV>
            <wp:extent cx="1965477" cy="753516"/>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965477" cy="753516"/>
                    </a:xfrm>
                    <a:prstGeom prst="rect">
                      <a:avLst/>
                    </a:prstGeom>
                  </pic:spPr>
                </pic:pic>
              </a:graphicData>
            </a:graphic>
          </wp:anchor>
        </w:drawing>
      </w:r>
      <w:r>
        <w:rPr>
          <w:rFonts w:ascii="Cambria"/>
          <w:b/>
          <w:spacing w:val="-4"/>
          <w:sz w:val="24"/>
        </w:rPr>
        <w:t>OPP</w:t>
      </w:r>
      <w:r>
        <w:rPr>
          <w:rFonts w:ascii="Cambria"/>
          <w:b/>
          <w:spacing w:val="-10"/>
          <w:sz w:val="24"/>
        </w:rPr>
        <w:t> </w:t>
      </w:r>
      <w:r>
        <w:rPr>
          <w:rFonts w:ascii="Cambria"/>
          <w:b/>
          <w:spacing w:val="-4"/>
          <w:sz w:val="24"/>
        </w:rPr>
        <w:t>24-</w:t>
      </w:r>
      <w:r>
        <w:rPr>
          <w:rFonts w:ascii="Cambria"/>
          <w:b/>
          <w:spacing w:val="-4"/>
          <w:sz w:val="24"/>
        </w:rPr>
        <w:t>2656 </w:t>
      </w:r>
      <w:r>
        <w:rPr>
          <w:rFonts w:ascii="Cambria"/>
          <w:b/>
          <w:spacing w:val="-2"/>
          <w:w w:val="90"/>
          <w:sz w:val="24"/>
        </w:rPr>
        <w:t>27/01/2025</w:t>
      </w:r>
    </w:p>
    <w:p>
      <w:pPr>
        <w:pStyle w:val="BodyText"/>
        <w:spacing w:before="141"/>
        <w:rPr>
          <w:rFonts w:ascii="Cambria"/>
          <w:b/>
        </w:rPr>
      </w:pPr>
    </w:p>
    <w:p>
      <w:pPr>
        <w:spacing w:before="0"/>
        <w:ind w:left="0" w:right="139" w:firstLine="0"/>
        <w:jc w:val="center"/>
        <w:rPr>
          <w:rFonts w:ascii="Cambria" w:hAnsi="Cambria"/>
          <w:b/>
          <w:sz w:val="24"/>
        </w:rPr>
      </w:pPr>
      <w:r>
        <w:rPr>
          <w:rFonts w:ascii="Cambria" w:hAnsi="Cambria"/>
          <w:b/>
          <w:spacing w:val="-2"/>
          <w:w w:val="105"/>
          <w:sz w:val="24"/>
        </w:rPr>
        <w:t>DÉCISION</w:t>
      </w:r>
    </w:p>
    <w:p>
      <w:pPr>
        <w:pStyle w:val="BodyText"/>
        <w:spacing w:before="115"/>
        <w:rPr>
          <w:rFonts w:ascii="Cambria"/>
          <w:b/>
        </w:rPr>
      </w:pPr>
    </w:p>
    <w:p>
      <w:pPr>
        <w:spacing w:before="0"/>
        <w:ind w:left="0" w:right="139" w:firstLine="0"/>
        <w:jc w:val="center"/>
        <w:rPr>
          <w:rFonts w:ascii="Cambria"/>
          <w:b/>
          <w:sz w:val="24"/>
        </w:rPr>
      </w:pPr>
      <w:r>
        <w:rPr>
          <w:rFonts w:ascii="Cambria"/>
          <w:b/>
          <w:w w:val="105"/>
          <w:sz w:val="24"/>
        </w:rPr>
        <w:t>STATUANT</w:t>
      </w:r>
      <w:r>
        <w:rPr>
          <w:rFonts w:ascii="Cambria"/>
          <w:b/>
          <w:spacing w:val="-11"/>
          <w:w w:val="105"/>
          <w:sz w:val="24"/>
        </w:rPr>
        <w:t> </w:t>
      </w:r>
      <w:r>
        <w:rPr>
          <w:rFonts w:ascii="Cambria"/>
          <w:b/>
          <w:w w:val="105"/>
          <w:sz w:val="24"/>
        </w:rPr>
        <w:t>SUR</w:t>
      </w:r>
      <w:r>
        <w:rPr>
          <w:rFonts w:ascii="Cambria"/>
          <w:b/>
          <w:spacing w:val="-11"/>
          <w:w w:val="105"/>
          <w:sz w:val="24"/>
        </w:rPr>
        <w:t> </w:t>
      </w:r>
      <w:r>
        <w:rPr>
          <w:rFonts w:ascii="Cambria"/>
          <w:b/>
          <w:w w:val="105"/>
          <w:sz w:val="24"/>
        </w:rPr>
        <w:t>UNE</w:t>
      </w:r>
      <w:r>
        <w:rPr>
          <w:rFonts w:ascii="Cambria"/>
          <w:b/>
          <w:spacing w:val="-11"/>
          <w:w w:val="105"/>
          <w:sz w:val="24"/>
        </w:rPr>
        <w:t> </w:t>
      </w:r>
      <w:r>
        <w:rPr>
          <w:rFonts w:ascii="Cambria"/>
          <w:b/>
          <w:spacing w:val="-2"/>
          <w:w w:val="105"/>
          <w:sz w:val="24"/>
        </w:rPr>
        <w:t>OPPOSITION</w:t>
      </w:r>
    </w:p>
    <w:p>
      <w:pPr>
        <w:pStyle w:val="BodyText"/>
        <w:rPr>
          <w:rFonts w:ascii="Cambria"/>
          <w:b/>
        </w:rPr>
      </w:pPr>
    </w:p>
    <w:p>
      <w:pPr>
        <w:pStyle w:val="BodyText"/>
        <w:spacing w:before="50"/>
        <w:rPr>
          <w:rFonts w:ascii="Cambria"/>
          <w:b/>
        </w:rPr>
      </w:pPr>
    </w:p>
    <w:p>
      <w:pPr>
        <w:spacing w:before="0"/>
        <w:ind w:left="0" w:right="137" w:firstLine="0"/>
        <w:jc w:val="center"/>
        <w:rPr>
          <w:rFonts w:ascii="Cambria"/>
          <w:b/>
          <w:sz w:val="24"/>
        </w:rPr>
      </w:pPr>
      <w:r>
        <w:rPr>
          <w:rFonts w:ascii="Cambria"/>
          <w:b/>
          <w:spacing w:val="-4"/>
          <w:sz w:val="24"/>
        </w:rPr>
        <w:t>****</w:t>
      </w:r>
    </w:p>
    <w:p>
      <w:pPr>
        <w:pStyle w:val="BodyText"/>
        <w:spacing w:before="75"/>
        <w:rPr>
          <w:rFonts w:ascii="Cambria"/>
          <w:b/>
        </w:rPr>
      </w:pPr>
    </w:p>
    <w:p>
      <w:pPr>
        <w:pStyle w:val="BodyText"/>
        <w:ind w:left="3" w:firstLine="568"/>
      </w:pPr>
      <w:r>
        <w:rPr/>
        <w:t>LE</w:t>
      </w:r>
      <w:r>
        <w:rPr>
          <w:spacing w:val="40"/>
        </w:rPr>
        <w:t> </w:t>
      </w:r>
      <w:r>
        <w:rPr/>
        <w:t>DIRECTEUR</w:t>
      </w:r>
      <w:r>
        <w:rPr>
          <w:spacing w:val="40"/>
        </w:rPr>
        <w:t> </w:t>
      </w:r>
      <w:r>
        <w:rPr/>
        <w:t>GENERAL</w:t>
      </w:r>
      <w:r>
        <w:rPr>
          <w:spacing w:val="40"/>
        </w:rPr>
        <w:t> </w:t>
      </w:r>
      <w:r>
        <w:rPr/>
        <w:t>DE</w:t>
      </w:r>
      <w:r>
        <w:rPr>
          <w:spacing w:val="40"/>
        </w:rPr>
        <w:t> </w:t>
      </w:r>
      <w:r>
        <w:rPr/>
        <w:t>L'INSTITUT</w:t>
      </w:r>
      <w:r>
        <w:rPr>
          <w:spacing w:val="40"/>
        </w:rPr>
        <w:t> </w:t>
      </w:r>
      <w:r>
        <w:rPr/>
        <w:t>NATIONAL</w:t>
      </w:r>
      <w:r>
        <w:rPr>
          <w:spacing w:val="40"/>
        </w:rPr>
        <w:t> </w:t>
      </w:r>
      <w:r>
        <w:rPr/>
        <w:t>DE</w:t>
      </w:r>
      <w:r>
        <w:rPr>
          <w:spacing w:val="40"/>
        </w:rPr>
        <w:t> </w:t>
      </w:r>
      <w:r>
        <w:rPr/>
        <w:t>LA</w:t>
      </w:r>
      <w:r>
        <w:rPr>
          <w:spacing w:val="40"/>
        </w:rPr>
        <w:t> </w:t>
      </w:r>
      <w:r>
        <w:rPr/>
        <w:t>PROPRIETE</w:t>
      </w:r>
      <w:r>
        <w:rPr>
          <w:spacing w:val="80"/>
        </w:rPr>
        <w:t> </w:t>
      </w:r>
      <w:r>
        <w:rPr/>
        <w:t>INDUSTRIELLE ;</w:t>
      </w:r>
    </w:p>
    <w:p>
      <w:pPr>
        <w:pStyle w:val="BodyText"/>
        <w:spacing w:before="74"/>
      </w:pPr>
    </w:p>
    <w:p>
      <w:pPr>
        <w:pStyle w:val="BodyText"/>
        <w:spacing w:line="261" w:lineRule="auto"/>
        <w:ind w:left="3" w:right="152" w:firstLine="568"/>
        <w:jc w:val="both"/>
      </w:pPr>
      <w:r>
        <w:rPr>
          <w:rFonts w:ascii="Cambria" w:hAnsi="Cambria"/>
          <w:b/>
        </w:rPr>
        <w:t>Vu </w:t>
      </w:r>
      <w:r>
        <w:rPr/>
        <w:t>le règlement (UE) n° 2017/1001 du Parlement européen et du Conseil du 14 juin 2017 ;</w:t>
      </w:r>
    </w:p>
    <w:p>
      <w:pPr>
        <w:pStyle w:val="BodyText"/>
        <w:spacing w:before="51"/>
      </w:pPr>
    </w:p>
    <w:p>
      <w:pPr>
        <w:pStyle w:val="BodyText"/>
        <w:spacing w:line="261" w:lineRule="auto"/>
        <w:ind w:left="3" w:right="161" w:firstLine="568"/>
        <w:jc w:val="both"/>
      </w:pPr>
      <w:r>
        <w:rPr>
          <w:rFonts w:ascii="Cambria" w:hAnsi="Cambria"/>
          <w:b/>
        </w:rPr>
        <w:t>Vu</w:t>
      </w:r>
      <w:r>
        <w:rPr>
          <w:rFonts w:ascii="Cambria" w:hAnsi="Cambria"/>
          <w:b/>
          <w:spacing w:val="35"/>
        </w:rPr>
        <w:t> </w:t>
      </w:r>
      <w:r>
        <w:rPr/>
        <w:t>le</w:t>
      </w:r>
      <w:r>
        <w:rPr>
          <w:spacing w:val="28"/>
        </w:rPr>
        <w:t> </w:t>
      </w:r>
      <w:r>
        <w:rPr/>
        <w:t>code</w:t>
      </w:r>
      <w:r>
        <w:rPr>
          <w:spacing w:val="29"/>
        </w:rPr>
        <w:t> </w:t>
      </w:r>
      <w:r>
        <w:rPr/>
        <w:t>de</w:t>
      </w:r>
      <w:r>
        <w:rPr>
          <w:spacing w:val="28"/>
        </w:rPr>
        <w:t> </w:t>
      </w:r>
      <w:r>
        <w:rPr/>
        <w:t>la</w:t>
      </w:r>
      <w:r>
        <w:rPr>
          <w:spacing w:val="29"/>
        </w:rPr>
        <w:t> </w:t>
      </w:r>
      <w:r>
        <w:rPr/>
        <w:t>propriété</w:t>
      </w:r>
      <w:r>
        <w:rPr>
          <w:spacing w:val="29"/>
        </w:rPr>
        <w:t> </w:t>
      </w:r>
      <w:r>
        <w:rPr/>
        <w:t>intellectuelle</w:t>
      </w:r>
      <w:r>
        <w:rPr>
          <w:spacing w:val="29"/>
        </w:rPr>
        <w:t> </w:t>
      </w:r>
      <w:r>
        <w:rPr/>
        <w:t>et</w:t>
      </w:r>
      <w:r>
        <w:rPr>
          <w:spacing w:val="29"/>
        </w:rPr>
        <w:t> </w:t>
      </w:r>
      <w:r>
        <w:rPr/>
        <w:t>notamment</w:t>
      </w:r>
      <w:r>
        <w:rPr>
          <w:spacing w:val="31"/>
        </w:rPr>
        <w:t> </w:t>
      </w:r>
      <w:r>
        <w:rPr/>
        <w:t>ses</w:t>
      </w:r>
      <w:r>
        <w:rPr>
          <w:spacing w:val="29"/>
        </w:rPr>
        <w:t> </w:t>
      </w:r>
      <w:r>
        <w:rPr/>
        <w:t>articles</w:t>
      </w:r>
      <w:r>
        <w:rPr>
          <w:spacing w:val="31"/>
        </w:rPr>
        <w:t> </w:t>
      </w:r>
      <w:r>
        <w:rPr/>
        <w:t>L</w:t>
      </w:r>
      <w:r>
        <w:rPr>
          <w:spacing w:val="28"/>
        </w:rPr>
        <w:t> </w:t>
      </w:r>
      <w:r>
        <w:rPr/>
        <w:t>411-4,</w:t>
      </w:r>
      <w:r>
        <w:rPr>
          <w:spacing w:val="28"/>
        </w:rPr>
        <w:t> </w:t>
      </w:r>
      <w:r>
        <w:rPr/>
        <w:t>L</w:t>
      </w:r>
      <w:r>
        <w:rPr>
          <w:spacing w:val="29"/>
        </w:rPr>
        <w:t> </w:t>
      </w:r>
      <w:r>
        <w:rPr/>
        <w:t>411-5, L</w:t>
      </w:r>
      <w:r>
        <w:rPr>
          <w:spacing w:val="10"/>
        </w:rPr>
        <w:t> </w:t>
      </w:r>
      <w:r>
        <w:rPr/>
        <w:t>712-3</w:t>
      </w:r>
      <w:r>
        <w:rPr>
          <w:spacing w:val="9"/>
        </w:rPr>
        <w:t> </w:t>
      </w:r>
      <w:r>
        <w:rPr/>
        <w:t>à</w:t>
      </w:r>
      <w:r>
        <w:rPr>
          <w:spacing w:val="8"/>
        </w:rPr>
        <w:t> </w:t>
      </w:r>
      <w:r>
        <w:rPr/>
        <w:t>L</w:t>
      </w:r>
      <w:r>
        <w:rPr>
          <w:spacing w:val="8"/>
        </w:rPr>
        <w:t> </w:t>
      </w:r>
      <w:r>
        <w:rPr/>
        <w:t>712-5-1,</w:t>
      </w:r>
      <w:r>
        <w:rPr>
          <w:spacing w:val="9"/>
        </w:rPr>
        <w:t> </w:t>
      </w:r>
      <w:r>
        <w:rPr/>
        <w:t>L</w:t>
      </w:r>
      <w:r>
        <w:rPr>
          <w:spacing w:val="10"/>
        </w:rPr>
        <w:t> </w:t>
      </w:r>
      <w:r>
        <w:rPr/>
        <w:t>712-7,</w:t>
      </w:r>
      <w:r>
        <w:rPr>
          <w:spacing w:val="9"/>
        </w:rPr>
        <w:t> </w:t>
      </w:r>
      <w:r>
        <w:rPr/>
        <w:t>L</w:t>
      </w:r>
      <w:r>
        <w:rPr>
          <w:spacing w:val="8"/>
        </w:rPr>
        <w:t> </w:t>
      </w:r>
      <w:r>
        <w:rPr/>
        <w:t>713-2,</w:t>
      </w:r>
      <w:r>
        <w:rPr>
          <w:spacing w:val="9"/>
        </w:rPr>
        <w:t> </w:t>
      </w:r>
      <w:r>
        <w:rPr/>
        <w:t>L</w:t>
      </w:r>
      <w:r>
        <w:rPr>
          <w:spacing w:val="8"/>
        </w:rPr>
        <w:t> </w:t>
      </w:r>
      <w:r>
        <w:rPr/>
        <w:t>713-3,</w:t>
      </w:r>
      <w:r>
        <w:rPr>
          <w:spacing w:val="9"/>
        </w:rPr>
        <w:t> </w:t>
      </w:r>
      <w:r>
        <w:rPr/>
        <w:t>R</w:t>
      </w:r>
      <w:r>
        <w:rPr>
          <w:spacing w:val="9"/>
        </w:rPr>
        <w:t> </w:t>
      </w:r>
      <w:r>
        <w:rPr/>
        <w:t>411-17,</w:t>
      </w:r>
      <w:r>
        <w:rPr>
          <w:spacing w:val="9"/>
        </w:rPr>
        <w:t> </w:t>
      </w:r>
      <w:r>
        <w:rPr/>
        <w:t>R</w:t>
      </w:r>
      <w:r>
        <w:rPr>
          <w:spacing w:val="9"/>
        </w:rPr>
        <w:t> </w:t>
      </w:r>
      <w:r>
        <w:rPr/>
        <w:t>712-13</w:t>
      </w:r>
      <w:r>
        <w:rPr>
          <w:spacing w:val="9"/>
        </w:rPr>
        <w:t> </w:t>
      </w:r>
      <w:r>
        <w:rPr/>
        <w:t>à</w:t>
      </w:r>
      <w:r>
        <w:rPr>
          <w:spacing w:val="9"/>
        </w:rPr>
        <w:t> </w:t>
      </w:r>
      <w:r>
        <w:rPr/>
        <w:t>R</w:t>
      </w:r>
      <w:r>
        <w:rPr>
          <w:spacing w:val="9"/>
        </w:rPr>
        <w:t> </w:t>
      </w:r>
      <w:r>
        <w:rPr/>
        <w:t>712-19,</w:t>
      </w:r>
      <w:r>
        <w:rPr>
          <w:spacing w:val="9"/>
        </w:rPr>
        <w:t> </w:t>
      </w:r>
      <w:r>
        <w:rPr/>
        <w:t>R</w:t>
      </w:r>
      <w:r>
        <w:rPr>
          <w:spacing w:val="9"/>
        </w:rPr>
        <w:t> </w:t>
      </w:r>
      <w:r>
        <w:rPr/>
        <w:t>712-</w:t>
      </w:r>
      <w:r>
        <w:rPr>
          <w:spacing w:val="-5"/>
        </w:rPr>
        <w:t>21,</w:t>
      </w:r>
    </w:p>
    <w:p>
      <w:pPr>
        <w:pStyle w:val="BodyText"/>
        <w:spacing w:line="252" w:lineRule="exact"/>
        <w:ind w:left="3"/>
      </w:pPr>
      <w:r>
        <w:rPr/>
        <w:t>R</w:t>
      </w:r>
      <w:r>
        <w:rPr>
          <w:spacing w:val="-2"/>
        </w:rPr>
        <w:t> </w:t>
      </w:r>
      <w:r>
        <w:rPr/>
        <w:t>712-26 et</w:t>
      </w:r>
      <w:r>
        <w:rPr>
          <w:spacing w:val="1"/>
        </w:rPr>
        <w:t> </w:t>
      </w:r>
      <w:r>
        <w:rPr/>
        <w:t>R</w:t>
      </w:r>
      <w:r>
        <w:rPr>
          <w:spacing w:val="-1"/>
        </w:rPr>
        <w:t> </w:t>
      </w:r>
      <w:r>
        <w:rPr/>
        <w:t>718-2 à</w:t>
      </w:r>
      <w:r>
        <w:rPr>
          <w:spacing w:val="-1"/>
        </w:rPr>
        <w:t> </w:t>
      </w:r>
      <w:r>
        <w:rPr/>
        <w:t>R</w:t>
      </w:r>
      <w:r>
        <w:rPr>
          <w:spacing w:val="-1"/>
        </w:rPr>
        <w:t> </w:t>
      </w:r>
      <w:r>
        <w:rPr/>
        <w:t>718-5 </w:t>
      </w:r>
      <w:r>
        <w:rPr>
          <w:spacing w:val="-10"/>
        </w:rPr>
        <w:t>;</w:t>
      </w:r>
    </w:p>
    <w:p>
      <w:pPr>
        <w:pStyle w:val="BodyText"/>
        <w:spacing w:before="20"/>
      </w:pPr>
    </w:p>
    <w:p>
      <w:pPr>
        <w:pStyle w:val="BodyText"/>
        <w:spacing w:line="261" w:lineRule="auto"/>
        <w:ind w:left="3" w:right="148" w:firstLine="568"/>
        <w:jc w:val="both"/>
      </w:pPr>
      <w:r>
        <w:rPr>
          <w:rFonts w:ascii="Cambria" w:hAnsi="Cambria"/>
          <w:b/>
        </w:rPr>
        <w:t>Vu </w:t>
      </w:r>
      <w:r>
        <w:rPr/>
        <w:t>l’arrêté du 24 avril 2008 modifié, relatif aux redevances de procédure perçues par l'Institut national de la propriété industrielle ;</w:t>
      </w:r>
    </w:p>
    <w:p>
      <w:pPr>
        <w:pStyle w:val="BodyText"/>
        <w:spacing w:line="252" w:lineRule="auto" w:before="274"/>
        <w:ind w:left="3" w:right="154" w:firstLine="568"/>
        <w:jc w:val="both"/>
      </w:pPr>
      <w:r>
        <w:rPr>
          <w:rFonts w:ascii="Cambria" w:hAnsi="Cambria"/>
          <w:b/>
        </w:rPr>
        <w:t>Vu </w:t>
      </w:r>
      <w:r>
        <w:rPr/>
        <w:t>la décision modifiée n° 2014-142 bis du Directeur Général de l'Institut National de</w:t>
      </w:r>
      <w:r>
        <w:rPr>
          <w:spacing w:val="40"/>
        </w:rPr>
        <w:t> </w:t>
      </w:r>
      <w:r>
        <w:rPr/>
        <w:t>la Propriété Industrielle relative aux conditions de présentation et au contenu du dossier des demandes d'enregistrement de marques ;</w:t>
      </w:r>
    </w:p>
    <w:p>
      <w:pPr>
        <w:pStyle w:val="BodyText"/>
        <w:spacing w:before="5"/>
      </w:pPr>
    </w:p>
    <w:p>
      <w:pPr>
        <w:pStyle w:val="BodyText"/>
        <w:spacing w:line="252" w:lineRule="auto"/>
        <w:ind w:left="3" w:right="153" w:firstLine="568"/>
        <w:jc w:val="both"/>
      </w:pPr>
      <w:r>
        <w:rPr>
          <w:rFonts w:ascii="Cambria" w:hAnsi="Cambria"/>
          <w:b/>
        </w:rPr>
        <w:t>Vu </w:t>
      </w:r>
      <w:r>
        <w:rPr/>
        <w:t>la décision n° 2019-158 du Directeur Général de l'Institut National de la Propriété Industrielle relative aux modalités de la procédure d’opposition à enregistrement d’une </w:t>
      </w:r>
      <w:r>
        <w:rPr>
          <w:spacing w:val="-2"/>
        </w:rPr>
        <w:t>marque.</w:t>
      </w:r>
    </w:p>
    <w:p>
      <w:pPr>
        <w:pStyle w:val="BodyText"/>
      </w:pPr>
    </w:p>
    <w:p>
      <w:pPr>
        <w:pStyle w:val="BodyText"/>
      </w:pPr>
    </w:p>
    <w:p>
      <w:pPr>
        <w:pStyle w:val="BodyText"/>
        <w:spacing w:before="167"/>
      </w:pPr>
    </w:p>
    <w:p>
      <w:pPr>
        <w:spacing w:before="1"/>
        <w:ind w:left="3" w:right="0" w:firstLine="0"/>
        <w:jc w:val="left"/>
        <w:rPr>
          <w:rFonts w:ascii="Cambria" w:hAnsi="Cambria"/>
          <w:b/>
          <w:sz w:val="24"/>
        </w:rPr>
      </w:pPr>
      <w:r>
        <w:rPr>
          <w:rFonts w:ascii="Cambria" w:hAnsi="Cambria"/>
          <w:b/>
          <w:w w:val="105"/>
          <w:sz w:val="24"/>
        </w:rPr>
        <w:t>I.-</w:t>
      </w:r>
      <w:r>
        <w:rPr>
          <w:rFonts w:ascii="Cambria" w:hAnsi="Cambria"/>
          <w:b/>
          <w:spacing w:val="-6"/>
          <w:w w:val="105"/>
          <w:sz w:val="24"/>
        </w:rPr>
        <w:t> </w:t>
      </w:r>
      <w:r>
        <w:rPr>
          <w:rFonts w:ascii="Cambria" w:hAnsi="Cambria"/>
          <w:b/>
          <w:w w:val="105"/>
          <w:sz w:val="24"/>
        </w:rPr>
        <w:t>FAITS</w:t>
      </w:r>
      <w:r>
        <w:rPr>
          <w:rFonts w:ascii="Cambria" w:hAnsi="Cambria"/>
          <w:b/>
          <w:spacing w:val="-5"/>
          <w:w w:val="105"/>
          <w:sz w:val="24"/>
        </w:rPr>
        <w:t> </w:t>
      </w:r>
      <w:r>
        <w:rPr>
          <w:rFonts w:ascii="Cambria" w:hAnsi="Cambria"/>
          <w:b/>
          <w:w w:val="105"/>
          <w:sz w:val="24"/>
        </w:rPr>
        <w:t>ET</w:t>
      </w:r>
      <w:r>
        <w:rPr>
          <w:rFonts w:ascii="Cambria" w:hAnsi="Cambria"/>
          <w:b/>
          <w:spacing w:val="-4"/>
          <w:w w:val="105"/>
          <w:sz w:val="24"/>
        </w:rPr>
        <w:t> </w:t>
      </w:r>
      <w:r>
        <w:rPr>
          <w:rFonts w:ascii="Cambria" w:hAnsi="Cambria"/>
          <w:b/>
          <w:spacing w:val="-2"/>
          <w:w w:val="105"/>
          <w:sz w:val="24"/>
        </w:rPr>
        <w:t>PROCÉDURE</w:t>
      </w:r>
    </w:p>
    <w:p>
      <w:pPr>
        <w:pStyle w:val="BodyText"/>
        <w:rPr>
          <w:rFonts w:ascii="Cambria"/>
          <w:b/>
        </w:rPr>
      </w:pPr>
    </w:p>
    <w:p>
      <w:pPr>
        <w:pStyle w:val="BodyText"/>
        <w:spacing w:before="15"/>
        <w:rPr>
          <w:rFonts w:ascii="Cambria"/>
          <w:b/>
        </w:rPr>
      </w:pPr>
    </w:p>
    <w:p>
      <w:pPr>
        <w:pStyle w:val="BodyText"/>
        <w:ind w:left="3" w:firstLine="708"/>
      </w:pPr>
      <w:r>
        <w:rPr/>
        <w:t>Monsieur F P</w:t>
      </w:r>
      <w:r>
        <w:rPr>
          <w:spacing w:val="80"/>
        </w:rPr>
        <w:t> </w:t>
      </w:r>
      <w:r>
        <w:rPr/>
        <w:t>a déposé, le 17 mai 2024, la demande d’enregistrement n° 5 055 299</w:t>
      </w:r>
      <w:r>
        <w:rPr>
          <w:spacing w:val="80"/>
        </w:rPr>
        <w:t> </w:t>
      </w:r>
      <w:r>
        <w:rPr/>
        <w:t>portant sur le signe verbal JOYLIFE.</w:t>
      </w:r>
    </w:p>
    <w:p>
      <w:pPr>
        <w:pStyle w:val="BodyText"/>
      </w:pPr>
    </w:p>
    <w:p>
      <w:pPr>
        <w:pStyle w:val="BodyText"/>
        <w:ind w:left="3" w:firstLine="708"/>
      </w:pPr>
      <w:r>
        <w:rPr/>
        <w:t>Le 25 juillet 2024, la société JEAN PATOU (société par actions simplifiée) a formé</w:t>
      </w:r>
      <w:r>
        <w:rPr>
          <w:spacing w:val="80"/>
        </w:rPr>
        <w:t> </w:t>
      </w:r>
      <w:r>
        <w:rPr/>
        <w:t>opposition à l’enregistrement de cette marque sur la base des droits suivants :</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80"/>
        <w:rPr>
          <w:sz w:val="20"/>
        </w:rPr>
      </w:pPr>
      <w:r>
        <w:rPr>
          <w:sz w:val="20"/>
        </w:rPr>
        <mc:AlternateContent>
          <mc:Choice Requires="wps">
            <w:drawing>
              <wp:anchor distT="0" distB="0" distL="0" distR="0" allowOverlap="1" layoutInCell="1" locked="0" behindDoc="1" simplePos="0" relativeHeight="487587840">
                <wp:simplePos x="0" y="0"/>
                <wp:positionH relativeFrom="page">
                  <wp:posOffset>3752850</wp:posOffset>
                </wp:positionH>
                <wp:positionV relativeFrom="paragraph">
                  <wp:posOffset>275577</wp:posOffset>
                </wp:positionV>
                <wp:extent cx="69850" cy="127000"/>
                <wp:effectExtent l="0" t="0" r="0" b="0"/>
                <wp:wrapTopAndBottom/>
                <wp:docPr id="3" name="Textbox 3"/>
                <wp:cNvGraphicFramePr>
                  <a:graphicFrameLocks/>
                </wp:cNvGraphicFramePr>
                <a:graphic>
                  <a:graphicData uri="http://schemas.microsoft.com/office/word/2010/wordprocessingShape">
                    <wps:wsp>
                      <wps:cNvPr id="3" name="Textbox 3"/>
                      <wps:cNvSpPr txBox="1"/>
                      <wps:spPr>
                        <a:xfrm>
                          <a:off x="0" y="0"/>
                          <a:ext cx="69850" cy="127000"/>
                        </a:xfrm>
                        <a:prstGeom prst="rect">
                          <a:avLst/>
                        </a:prstGeom>
                      </wps:spPr>
                      <wps:txbx>
                        <w:txbxContent>
                          <w:p>
                            <w:pPr>
                              <w:spacing w:line="199" w:lineRule="exact" w:before="0"/>
                              <w:ind w:left="0" w:right="0" w:firstLine="0"/>
                              <w:jc w:val="left"/>
                              <w:rPr>
                                <w:sz w:val="18"/>
                              </w:rPr>
                            </w:pPr>
                            <w:r>
                              <w:rPr>
                                <w:color w:val="7F7F7F"/>
                                <w:spacing w:val="-10"/>
                                <w:sz w:val="18"/>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5.5pt;margin-top:21.699024pt;width:5.5pt;height:10pt;mso-position-horizontal-relative:page;mso-position-vertical-relative:paragraph;z-index:-15728640;mso-wrap-distance-left:0;mso-wrap-distance-right:0" type="#_x0000_t202" id="docshape1" filled="false" stroked="false">
                <v:textbox inset="0,0,0,0">
                  <w:txbxContent>
                    <w:p>
                      <w:pPr>
                        <w:spacing w:line="199" w:lineRule="exact" w:before="0"/>
                        <w:ind w:left="0" w:right="0" w:firstLine="0"/>
                        <w:jc w:val="left"/>
                        <w:rPr>
                          <w:sz w:val="18"/>
                        </w:rPr>
                      </w:pPr>
                      <w:r>
                        <w:rPr>
                          <w:color w:val="7F7F7F"/>
                          <w:spacing w:val="-10"/>
                          <w:sz w:val="18"/>
                        </w:rPr>
                        <w:t>1</w:t>
                      </w:r>
                    </w:p>
                  </w:txbxContent>
                </v:textbox>
                <w10:wrap type="topAndBottom"/>
              </v:shape>
            </w:pict>
          </mc:Fallback>
        </mc:AlternateContent>
      </w:r>
    </w:p>
    <w:p>
      <w:pPr>
        <w:pStyle w:val="BodyText"/>
        <w:spacing w:after="0"/>
        <w:rPr>
          <w:sz w:val="20"/>
        </w:rPr>
        <w:sectPr>
          <w:type w:val="continuous"/>
          <w:pgSz w:w="11910" w:h="16840"/>
          <w:pgMar w:top="920" w:bottom="0" w:left="1417" w:right="1275"/>
        </w:sectPr>
      </w:pPr>
    </w:p>
    <w:p>
      <w:pPr>
        <w:pStyle w:val="ListParagraph"/>
        <w:numPr>
          <w:ilvl w:val="0"/>
          <w:numId w:val="1"/>
        </w:numPr>
        <w:tabs>
          <w:tab w:pos="723" w:val="left" w:leader="none"/>
        </w:tabs>
        <w:spacing w:line="240" w:lineRule="auto" w:before="67" w:after="0"/>
        <w:ind w:left="723" w:right="195" w:hanging="360"/>
        <w:jc w:val="both"/>
        <w:rPr>
          <w:sz w:val="24"/>
        </w:rPr>
      </w:pPr>
      <w:r>
        <w:rPr>
          <w:sz w:val="24"/>
        </w:rPr>
        <w:t>la marque de l’Union européenne portant sur le signe verbal JOY, déposée le 17 juin 1997, enregistrée sous le n°</w:t>
      </w:r>
      <w:r>
        <w:rPr>
          <w:spacing w:val="-1"/>
          <w:sz w:val="24"/>
        </w:rPr>
        <w:t> </w:t>
      </w:r>
      <w:r>
        <w:rPr>
          <w:sz w:val="24"/>
        </w:rPr>
        <w:t>10596047 et régulièrement renouvelée, dont elle indique être devenue propriétaire par suite d’une transmission de propriété inscrite au registre de l’EUIPO, sur le fondement du risque de confusion ;</w:t>
      </w:r>
    </w:p>
    <w:p>
      <w:pPr>
        <w:pStyle w:val="BodyText"/>
        <w:spacing w:before="1"/>
      </w:pPr>
    </w:p>
    <w:p>
      <w:pPr>
        <w:pStyle w:val="ListParagraph"/>
        <w:numPr>
          <w:ilvl w:val="0"/>
          <w:numId w:val="1"/>
        </w:numPr>
        <w:tabs>
          <w:tab w:pos="723" w:val="left" w:leader="none"/>
        </w:tabs>
        <w:spacing w:line="240" w:lineRule="auto" w:before="0" w:after="0"/>
        <w:ind w:left="723" w:right="195" w:hanging="360"/>
        <w:jc w:val="both"/>
        <w:rPr>
          <w:sz w:val="24"/>
        </w:rPr>
      </w:pPr>
      <w:r>
        <w:rPr>
          <w:sz w:val="24"/>
        </w:rPr>
        <w:t>la marque de l’Union européenne portant sur le signe verbal JOY, déposée le 17 juin 1997, enregistrée sous le n°</w:t>
      </w:r>
      <w:r>
        <w:rPr>
          <w:spacing w:val="-1"/>
          <w:sz w:val="24"/>
        </w:rPr>
        <w:t> </w:t>
      </w:r>
      <w:r>
        <w:rPr>
          <w:sz w:val="24"/>
        </w:rPr>
        <w:t>10596047 et régulièrement renouvelée, dont elle indique être devenue propriétaire par suite d’une transmission de propriété inscrite au registre de l’EUIPO, sur le fondement d’une atteinte à sa renommée.</w:t>
      </w:r>
    </w:p>
    <w:p>
      <w:pPr>
        <w:pStyle w:val="BodyText"/>
      </w:pPr>
    </w:p>
    <w:p>
      <w:pPr>
        <w:pStyle w:val="BodyText"/>
        <w:ind w:left="3" w:right="147" w:firstLine="708"/>
        <w:jc w:val="both"/>
      </w:pPr>
      <w:r>
        <w:rPr/>
        <w:t>L'opposition a été notifiée au titulaire de la demande d’enregistrement. Cette notification l’invitait à présenter des observations en réponse à l'opposition dans un délai de deux mois.</w:t>
      </w:r>
    </w:p>
    <w:p>
      <w:pPr>
        <w:pStyle w:val="BodyText"/>
      </w:pPr>
    </w:p>
    <w:p>
      <w:pPr>
        <w:pStyle w:val="BodyText"/>
        <w:ind w:left="3" w:right="153" w:firstLine="710"/>
        <w:jc w:val="both"/>
      </w:pPr>
      <w:r>
        <w:rPr/>
        <w:t>Aucune observation en réponse à l'opposition n'ayant été présentée à l'Institut dans le délai imparti, la phase d’instruction a pris fin, ce dont les parties ont été informées.</w:t>
      </w:r>
    </w:p>
    <w:p>
      <w:pPr>
        <w:pStyle w:val="BodyText"/>
      </w:pPr>
    </w:p>
    <w:p>
      <w:pPr>
        <w:pStyle w:val="BodyText"/>
        <w:spacing w:before="126"/>
      </w:pPr>
    </w:p>
    <w:p>
      <w:pPr>
        <w:spacing w:before="0"/>
        <w:ind w:left="3" w:right="0" w:firstLine="0"/>
        <w:jc w:val="both"/>
        <w:rPr>
          <w:rFonts w:ascii="Cambria" w:hAnsi="Cambria"/>
          <w:b/>
          <w:sz w:val="24"/>
        </w:rPr>
      </w:pPr>
      <w:r>
        <w:rPr>
          <w:rFonts w:ascii="Cambria" w:hAnsi="Cambria"/>
          <w:b/>
          <w:w w:val="110"/>
          <w:sz w:val="24"/>
        </w:rPr>
        <w:t>II.-</w:t>
      </w:r>
      <w:r>
        <w:rPr>
          <w:rFonts w:ascii="Cambria" w:hAnsi="Cambria"/>
          <w:b/>
          <w:spacing w:val="-1"/>
          <w:w w:val="110"/>
          <w:sz w:val="24"/>
        </w:rPr>
        <w:t> </w:t>
      </w:r>
      <w:r>
        <w:rPr>
          <w:rFonts w:ascii="Cambria" w:hAnsi="Cambria"/>
          <w:b/>
          <w:spacing w:val="-2"/>
          <w:w w:val="110"/>
          <w:sz w:val="24"/>
        </w:rPr>
        <w:t>DÉCISION</w:t>
      </w:r>
    </w:p>
    <w:p>
      <w:pPr>
        <w:pStyle w:val="BodyText"/>
        <w:spacing w:before="43"/>
        <w:rPr>
          <w:rFonts w:ascii="Cambria"/>
          <w:b/>
        </w:rPr>
      </w:pPr>
    </w:p>
    <w:p>
      <w:pPr>
        <w:pStyle w:val="Heading1"/>
        <w:numPr>
          <w:ilvl w:val="0"/>
          <w:numId w:val="2"/>
        </w:numPr>
        <w:tabs>
          <w:tab w:pos="894" w:val="left" w:leader="none"/>
        </w:tabs>
        <w:spacing w:line="302" w:lineRule="auto" w:before="0" w:after="0"/>
        <w:ind w:left="571" w:right="149" w:firstLine="0"/>
        <w:jc w:val="left"/>
      </w:pPr>
      <w:r>
        <w:rPr/>
        <w:t>Sur</w:t>
      </w:r>
      <w:r>
        <w:rPr>
          <w:spacing w:val="40"/>
        </w:rPr>
        <w:t> </w:t>
      </w:r>
      <w:r>
        <w:rPr/>
        <w:t>le</w:t>
      </w:r>
      <w:r>
        <w:rPr>
          <w:spacing w:val="40"/>
        </w:rPr>
        <w:t> </w:t>
      </w:r>
      <w:r>
        <w:rPr/>
        <w:t>risque</w:t>
      </w:r>
      <w:r>
        <w:rPr>
          <w:spacing w:val="40"/>
        </w:rPr>
        <w:t> </w:t>
      </w:r>
      <w:r>
        <w:rPr/>
        <w:t>de</w:t>
      </w:r>
      <w:r>
        <w:rPr>
          <w:spacing w:val="40"/>
        </w:rPr>
        <w:t> </w:t>
      </w:r>
      <w:r>
        <w:rPr/>
        <w:t>confusion</w:t>
      </w:r>
      <w:r>
        <w:rPr>
          <w:spacing w:val="40"/>
        </w:rPr>
        <w:t> </w:t>
      </w:r>
      <w:r>
        <w:rPr/>
        <w:t>avec</w:t>
      </w:r>
      <w:r>
        <w:rPr>
          <w:spacing w:val="40"/>
        </w:rPr>
        <w:t> </w:t>
      </w:r>
      <w:r>
        <w:rPr/>
        <w:t>la</w:t>
      </w:r>
      <w:r>
        <w:rPr>
          <w:spacing w:val="40"/>
        </w:rPr>
        <w:t> </w:t>
      </w:r>
      <w:r>
        <w:rPr/>
        <w:t>marque</w:t>
      </w:r>
      <w:r>
        <w:rPr>
          <w:spacing w:val="40"/>
        </w:rPr>
        <w:t> </w:t>
      </w:r>
      <w:r>
        <w:rPr/>
        <w:t>de</w:t>
      </w:r>
      <w:r>
        <w:rPr>
          <w:spacing w:val="40"/>
        </w:rPr>
        <w:t> </w:t>
      </w:r>
      <w:r>
        <w:rPr/>
        <w:t>l’Union</w:t>
      </w:r>
      <w:r>
        <w:rPr>
          <w:spacing w:val="40"/>
        </w:rPr>
        <w:t> </w:t>
      </w:r>
      <w:r>
        <w:rPr/>
        <w:t>européenne</w:t>
      </w:r>
      <w:r>
        <w:rPr>
          <w:spacing w:val="40"/>
        </w:rPr>
        <w:t> </w:t>
      </w:r>
      <w:r>
        <w:rPr/>
        <w:t>JOY n° 10596047</w:t>
      </w:r>
    </w:p>
    <w:p>
      <w:pPr>
        <w:pStyle w:val="BodyText"/>
        <w:spacing w:before="139"/>
        <w:ind w:left="3" w:right="159"/>
        <w:jc w:val="both"/>
      </w:pPr>
      <w:r>
        <w:rPr/>
        <w:t>Le risque de confusion s'entend du risque que le public puisse croire que les produits ou les services en cause proviennent de la même entreprise ou, le cas échéant, d’entreprises liées économiquement. Le risque de confusion comprend le risque d’association.</w:t>
      </w:r>
    </w:p>
    <w:p>
      <w:pPr>
        <w:pStyle w:val="BodyText"/>
      </w:pPr>
    </w:p>
    <w:p>
      <w:pPr>
        <w:pStyle w:val="BodyText"/>
        <w:ind w:left="3" w:right="152"/>
        <w:jc w:val="both"/>
      </w:pPr>
      <w:r>
        <w:rPr/>
        <w:t>L’existence d’un risque de confusion doit être appréciée globalement en tenant compte de nombreux facteurs qui incluent la similitude des signes, la similitude des produits et services, le caractère distinctif de la marque antérieure, les éléments distinctifs et dominants des signes en litige et le public pertinent.</w:t>
      </w:r>
    </w:p>
    <w:p>
      <w:pPr>
        <w:pStyle w:val="BodyText"/>
      </w:pPr>
    </w:p>
    <w:p>
      <w:pPr>
        <w:pStyle w:val="BodyText"/>
        <w:spacing w:before="22"/>
      </w:pPr>
    </w:p>
    <w:p>
      <w:pPr>
        <w:pStyle w:val="Heading1"/>
        <w:spacing w:before="1"/>
        <w:ind w:left="592"/>
      </w:pPr>
      <w:r>
        <w:rPr/>
        <w:t>Sur</w:t>
      </w:r>
      <w:r>
        <w:rPr>
          <w:spacing w:val="7"/>
        </w:rPr>
        <w:t> </w:t>
      </w:r>
      <w:r>
        <w:rPr/>
        <w:t>la</w:t>
      </w:r>
      <w:r>
        <w:rPr>
          <w:spacing w:val="8"/>
        </w:rPr>
        <w:t> </w:t>
      </w:r>
      <w:r>
        <w:rPr/>
        <w:t>comparaison</w:t>
      </w:r>
      <w:r>
        <w:rPr>
          <w:spacing w:val="7"/>
        </w:rPr>
        <w:t> </w:t>
      </w:r>
      <w:r>
        <w:rPr/>
        <w:t>des</w:t>
      </w:r>
      <w:r>
        <w:rPr>
          <w:spacing w:val="8"/>
        </w:rPr>
        <w:t> </w:t>
      </w:r>
      <w:r>
        <w:rPr>
          <w:spacing w:val="-2"/>
        </w:rPr>
        <w:t>produits</w:t>
      </w:r>
    </w:p>
    <w:p>
      <w:pPr>
        <w:pStyle w:val="BodyText"/>
        <w:spacing w:before="21"/>
        <w:rPr>
          <w:rFonts w:ascii="Cambria"/>
          <w:b/>
        </w:rPr>
      </w:pPr>
    </w:p>
    <w:p>
      <w:pPr>
        <w:pStyle w:val="BodyText"/>
        <w:ind w:left="3" w:right="151"/>
        <w:jc w:val="both"/>
      </w:pPr>
      <w:r>
        <w:rPr/>
        <w:t>Pour apprécier la similitude entre les produits et services, il y a lieu de tenir compte de tous</w:t>
      </w:r>
      <w:r>
        <w:rPr>
          <w:spacing w:val="40"/>
        </w:rPr>
        <w:t> </w:t>
      </w:r>
      <w:r>
        <w:rPr/>
        <w:t>les facteurs pertinents qui caractérisent le rapport entre ces produits et services. Les facteurs pertinents concernant la comparaison des produits ou services incluent, en particulier, leur nature, leur fonction, leur destination ainsi que leur caractère complémentaire.</w:t>
      </w:r>
    </w:p>
    <w:p>
      <w:pPr>
        <w:pStyle w:val="BodyText"/>
        <w:spacing w:before="4"/>
      </w:pPr>
    </w:p>
    <w:p>
      <w:pPr>
        <w:spacing w:before="0"/>
        <w:ind w:left="3" w:right="146" w:firstLine="0"/>
        <w:jc w:val="both"/>
        <w:rPr>
          <w:i/>
          <w:sz w:val="24"/>
        </w:rPr>
      </w:pPr>
      <w:r>
        <w:rPr>
          <w:sz w:val="24"/>
        </w:rPr>
        <w:t>L’opposition est formée contre les produits suivants : «</w:t>
      </w:r>
      <w:r>
        <w:rPr>
          <w:spacing w:val="-3"/>
          <w:sz w:val="24"/>
        </w:rPr>
        <w:t> </w:t>
      </w:r>
      <w:r>
        <w:rPr>
          <w:i/>
          <w:sz w:val="24"/>
        </w:rPr>
        <w:t>Lessives ; préparations pour polir ; préparations pour dégraisser ; préparations pour abraser ; savons ; parfums ; huiles essentielles ; cosmétiques ; lotions pour les cheveux ; dentifrices ; dépilatoires ; produits de démaquillage ; rouge à lèvres ; masques de beauté ; produits de rasage ; produits pour la conservation du cuir (cirages) ; crèmes pour le cuir ; savons désinfectants ; savons médicinaux</w:t>
      </w:r>
      <w:r>
        <w:rPr>
          <w:i/>
          <w:spacing w:val="-2"/>
          <w:sz w:val="24"/>
        </w:rPr>
        <w:t> </w:t>
      </w:r>
      <w:r>
        <w:rPr>
          <w:i/>
          <w:sz w:val="24"/>
        </w:rPr>
        <w:t>;</w:t>
      </w:r>
      <w:r>
        <w:rPr>
          <w:i/>
          <w:spacing w:val="-2"/>
          <w:sz w:val="24"/>
        </w:rPr>
        <w:t> </w:t>
      </w:r>
      <w:r>
        <w:rPr>
          <w:i/>
          <w:sz w:val="24"/>
        </w:rPr>
        <w:t>shampooings</w:t>
      </w:r>
      <w:r>
        <w:rPr>
          <w:i/>
          <w:spacing w:val="-2"/>
          <w:sz w:val="24"/>
        </w:rPr>
        <w:t> </w:t>
      </w:r>
      <w:r>
        <w:rPr>
          <w:i/>
          <w:sz w:val="24"/>
        </w:rPr>
        <w:t>médicamenteux</w:t>
      </w:r>
      <w:r>
        <w:rPr>
          <w:i/>
          <w:spacing w:val="-1"/>
          <w:sz w:val="24"/>
        </w:rPr>
        <w:t> </w:t>
      </w:r>
      <w:r>
        <w:rPr>
          <w:i/>
          <w:sz w:val="24"/>
        </w:rPr>
        <w:t>;</w:t>
      </w:r>
      <w:r>
        <w:rPr>
          <w:i/>
          <w:spacing w:val="-2"/>
          <w:sz w:val="24"/>
        </w:rPr>
        <w:t> </w:t>
      </w:r>
      <w:r>
        <w:rPr>
          <w:i/>
          <w:sz w:val="24"/>
        </w:rPr>
        <w:t>dentifrices</w:t>
      </w:r>
      <w:r>
        <w:rPr>
          <w:i/>
          <w:spacing w:val="-1"/>
          <w:sz w:val="24"/>
        </w:rPr>
        <w:t> </w:t>
      </w:r>
      <w:r>
        <w:rPr>
          <w:i/>
          <w:sz w:val="24"/>
        </w:rPr>
        <w:t>médicamenteux</w:t>
      </w:r>
      <w:r>
        <w:rPr>
          <w:i/>
          <w:spacing w:val="2"/>
          <w:sz w:val="24"/>
        </w:rPr>
        <w:t> </w:t>
      </w:r>
      <w:r>
        <w:rPr>
          <w:i/>
          <w:sz w:val="24"/>
        </w:rPr>
        <w:t>;</w:t>
      </w:r>
      <w:r>
        <w:rPr>
          <w:i/>
          <w:spacing w:val="-3"/>
          <w:sz w:val="24"/>
        </w:rPr>
        <w:t> </w:t>
      </w:r>
      <w:r>
        <w:rPr>
          <w:i/>
          <w:sz w:val="24"/>
        </w:rPr>
        <w:t>aliments</w:t>
      </w:r>
      <w:r>
        <w:rPr>
          <w:i/>
          <w:spacing w:val="-1"/>
          <w:sz w:val="24"/>
        </w:rPr>
        <w:t> </w:t>
      </w:r>
      <w:r>
        <w:rPr>
          <w:i/>
          <w:sz w:val="24"/>
        </w:rPr>
        <w:t>pour</w:t>
      </w:r>
      <w:r>
        <w:rPr>
          <w:i/>
          <w:spacing w:val="-1"/>
          <w:sz w:val="24"/>
        </w:rPr>
        <w:t> </w:t>
      </w:r>
      <w:r>
        <w:rPr>
          <w:i/>
          <w:spacing w:val="-2"/>
          <w:sz w:val="24"/>
        </w:rPr>
        <w:t>bébés</w:t>
      </w:r>
    </w:p>
    <w:p>
      <w:pPr>
        <w:spacing w:before="0"/>
        <w:ind w:left="3" w:right="0" w:firstLine="0"/>
        <w:jc w:val="both"/>
        <w:rPr>
          <w:i/>
          <w:sz w:val="24"/>
        </w:rPr>
      </w:pPr>
      <w:r>
        <w:rPr>
          <w:i/>
          <w:sz w:val="24"/>
        </w:rPr>
        <w:t>;</w:t>
      </w:r>
      <w:r>
        <w:rPr>
          <w:i/>
          <w:spacing w:val="40"/>
          <w:sz w:val="24"/>
        </w:rPr>
        <w:t>  </w:t>
      </w:r>
      <w:r>
        <w:rPr>
          <w:i/>
          <w:sz w:val="24"/>
        </w:rPr>
        <w:t>compléments</w:t>
      </w:r>
      <w:r>
        <w:rPr>
          <w:i/>
          <w:spacing w:val="43"/>
          <w:sz w:val="24"/>
        </w:rPr>
        <w:t>  </w:t>
      </w:r>
      <w:r>
        <w:rPr>
          <w:i/>
          <w:sz w:val="24"/>
        </w:rPr>
        <w:t>alimentaires</w:t>
      </w:r>
      <w:r>
        <w:rPr>
          <w:i/>
          <w:spacing w:val="5"/>
          <w:sz w:val="24"/>
        </w:rPr>
        <w:t> </w:t>
      </w:r>
      <w:r>
        <w:rPr>
          <w:i/>
          <w:sz w:val="24"/>
        </w:rPr>
        <w:t>;</w:t>
      </w:r>
      <w:r>
        <w:rPr>
          <w:i/>
          <w:spacing w:val="42"/>
          <w:sz w:val="24"/>
        </w:rPr>
        <w:t>  </w:t>
      </w:r>
      <w:r>
        <w:rPr>
          <w:i/>
          <w:sz w:val="24"/>
        </w:rPr>
        <w:t>articles</w:t>
      </w:r>
      <w:r>
        <w:rPr>
          <w:i/>
          <w:spacing w:val="44"/>
          <w:sz w:val="24"/>
        </w:rPr>
        <w:t>  </w:t>
      </w:r>
      <w:r>
        <w:rPr>
          <w:i/>
          <w:sz w:val="24"/>
        </w:rPr>
        <w:t>pour</w:t>
      </w:r>
      <w:r>
        <w:rPr>
          <w:i/>
          <w:spacing w:val="42"/>
          <w:sz w:val="24"/>
        </w:rPr>
        <w:t>  </w:t>
      </w:r>
      <w:r>
        <w:rPr>
          <w:i/>
          <w:sz w:val="24"/>
        </w:rPr>
        <w:t>pansements</w:t>
      </w:r>
      <w:r>
        <w:rPr>
          <w:i/>
          <w:spacing w:val="43"/>
          <w:sz w:val="24"/>
        </w:rPr>
        <w:t>  </w:t>
      </w:r>
      <w:r>
        <w:rPr>
          <w:i/>
          <w:sz w:val="24"/>
        </w:rPr>
        <w:t>;</w:t>
      </w:r>
      <w:r>
        <w:rPr>
          <w:i/>
          <w:spacing w:val="42"/>
          <w:sz w:val="24"/>
        </w:rPr>
        <w:t>  </w:t>
      </w:r>
      <w:r>
        <w:rPr>
          <w:i/>
          <w:sz w:val="24"/>
        </w:rPr>
        <w:t>désinfectants</w:t>
      </w:r>
      <w:r>
        <w:rPr>
          <w:i/>
          <w:spacing w:val="44"/>
          <w:sz w:val="24"/>
        </w:rPr>
        <w:t>  </w:t>
      </w:r>
      <w:r>
        <w:rPr>
          <w:i/>
          <w:sz w:val="24"/>
        </w:rPr>
        <w:t>;</w:t>
      </w:r>
      <w:r>
        <w:rPr>
          <w:i/>
          <w:spacing w:val="43"/>
          <w:sz w:val="24"/>
        </w:rPr>
        <w:t>  </w:t>
      </w:r>
      <w:r>
        <w:rPr>
          <w:i/>
          <w:spacing w:val="-2"/>
          <w:sz w:val="24"/>
        </w:rPr>
        <w:t>produits</w:t>
      </w:r>
    </w:p>
    <w:p>
      <w:pPr>
        <w:spacing w:after="0"/>
        <w:jc w:val="both"/>
        <w:rPr>
          <w:i/>
          <w:sz w:val="24"/>
        </w:rPr>
        <w:sectPr>
          <w:footerReference w:type="default" r:id="rId7"/>
          <w:pgSz w:w="11910" w:h="16840"/>
          <w:pgMar w:header="0" w:footer="840" w:top="1900" w:bottom="1040" w:left="1417" w:right="1275"/>
          <w:pgNumType w:start="2"/>
        </w:sectPr>
      </w:pPr>
    </w:p>
    <w:p>
      <w:pPr>
        <w:spacing w:before="68"/>
        <w:ind w:left="3" w:right="152" w:firstLine="0"/>
        <w:jc w:val="both"/>
        <w:rPr>
          <w:sz w:val="24"/>
        </w:rPr>
      </w:pPr>
      <w:r>
        <w:rPr>
          <w:i/>
          <w:sz w:val="24"/>
        </w:rPr>
        <w:t>antibactériens</w:t>
      </w:r>
      <w:r>
        <w:rPr>
          <w:i/>
          <w:spacing w:val="-2"/>
          <w:sz w:val="24"/>
        </w:rPr>
        <w:t> </w:t>
      </w:r>
      <w:r>
        <w:rPr>
          <w:i/>
          <w:sz w:val="24"/>
        </w:rPr>
        <w:t>pour</w:t>
      </w:r>
      <w:r>
        <w:rPr>
          <w:i/>
          <w:spacing w:val="-4"/>
          <w:sz w:val="24"/>
        </w:rPr>
        <w:t> </w:t>
      </w:r>
      <w:r>
        <w:rPr>
          <w:i/>
          <w:sz w:val="24"/>
        </w:rPr>
        <w:t>le</w:t>
      </w:r>
      <w:r>
        <w:rPr>
          <w:i/>
          <w:spacing w:val="-3"/>
          <w:sz w:val="24"/>
        </w:rPr>
        <w:t> </w:t>
      </w:r>
      <w:r>
        <w:rPr>
          <w:i/>
          <w:sz w:val="24"/>
        </w:rPr>
        <w:t>lavage</w:t>
      </w:r>
      <w:r>
        <w:rPr>
          <w:i/>
          <w:spacing w:val="-2"/>
          <w:sz w:val="24"/>
        </w:rPr>
        <w:t> </w:t>
      </w:r>
      <w:r>
        <w:rPr>
          <w:i/>
          <w:sz w:val="24"/>
        </w:rPr>
        <w:t>des</w:t>
      </w:r>
      <w:r>
        <w:rPr>
          <w:i/>
          <w:spacing w:val="-4"/>
          <w:sz w:val="24"/>
        </w:rPr>
        <w:t> </w:t>
      </w:r>
      <w:r>
        <w:rPr>
          <w:i/>
          <w:sz w:val="24"/>
        </w:rPr>
        <w:t>mains</w:t>
      </w:r>
      <w:r>
        <w:rPr>
          <w:i/>
          <w:spacing w:val="-4"/>
          <w:sz w:val="24"/>
        </w:rPr>
        <w:t> </w:t>
      </w:r>
      <w:r>
        <w:rPr>
          <w:i/>
          <w:sz w:val="24"/>
        </w:rPr>
        <w:t>;</w:t>
      </w:r>
      <w:r>
        <w:rPr>
          <w:i/>
          <w:spacing w:val="-3"/>
          <w:sz w:val="24"/>
        </w:rPr>
        <w:t> </w:t>
      </w:r>
      <w:r>
        <w:rPr>
          <w:i/>
          <w:sz w:val="24"/>
        </w:rPr>
        <w:t>produits</w:t>
      </w:r>
      <w:r>
        <w:rPr>
          <w:i/>
          <w:spacing w:val="-4"/>
          <w:sz w:val="24"/>
        </w:rPr>
        <w:t> </w:t>
      </w:r>
      <w:r>
        <w:rPr>
          <w:i/>
          <w:sz w:val="24"/>
        </w:rPr>
        <w:t>pour</w:t>
      </w:r>
      <w:r>
        <w:rPr>
          <w:i/>
          <w:spacing w:val="-2"/>
          <w:sz w:val="24"/>
        </w:rPr>
        <w:t> </w:t>
      </w:r>
      <w:r>
        <w:rPr>
          <w:i/>
          <w:sz w:val="24"/>
        </w:rPr>
        <w:t>la</w:t>
      </w:r>
      <w:r>
        <w:rPr>
          <w:i/>
          <w:spacing w:val="-4"/>
          <w:sz w:val="24"/>
        </w:rPr>
        <w:t> </w:t>
      </w:r>
      <w:r>
        <w:rPr>
          <w:i/>
          <w:sz w:val="24"/>
        </w:rPr>
        <w:t>destruction</w:t>
      </w:r>
      <w:r>
        <w:rPr>
          <w:i/>
          <w:spacing w:val="-1"/>
          <w:sz w:val="24"/>
        </w:rPr>
        <w:t> </w:t>
      </w:r>
      <w:r>
        <w:rPr>
          <w:i/>
          <w:sz w:val="24"/>
        </w:rPr>
        <w:t>des</w:t>
      </w:r>
      <w:r>
        <w:rPr>
          <w:i/>
          <w:spacing w:val="-4"/>
          <w:sz w:val="24"/>
        </w:rPr>
        <w:t> </w:t>
      </w:r>
      <w:r>
        <w:rPr>
          <w:i/>
          <w:sz w:val="24"/>
        </w:rPr>
        <w:t>animaux</w:t>
      </w:r>
      <w:r>
        <w:rPr>
          <w:i/>
          <w:spacing w:val="-3"/>
          <w:sz w:val="24"/>
        </w:rPr>
        <w:t> </w:t>
      </w:r>
      <w:r>
        <w:rPr>
          <w:i/>
          <w:sz w:val="24"/>
        </w:rPr>
        <w:t>nuisibles</w:t>
      </w:r>
      <w:r>
        <w:rPr>
          <w:i/>
          <w:spacing w:val="-2"/>
          <w:sz w:val="24"/>
        </w:rPr>
        <w:t> </w:t>
      </w:r>
      <w:r>
        <w:rPr>
          <w:i/>
          <w:sz w:val="24"/>
        </w:rPr>
        <w:t>; fongicides ; herbicides ; culottes hygiéniques ; serviettes hygiéniques ; parasiticides ; tisanes médicinales ; herbes médicinales </w:t>
      </w:r>
      <w:r>
        <w:rPr>
          <w:sz w:val="24"/>
        </w:rPr>
        <w:t>».</w:t>
      </w:r>
    </w:p>
    <w:p>
      <w:pPr>
        <w:pStyle w:val="BodyText"/>
        <w:spacing w:before="4"/>
      </w:pPr>
    </w:p>
    <w:p>
      <w:pPr>
        <w:spacing w:before="0"/>
        <w:ind w:left="3" w:right="141" w:firstLine="0"/>
        <w:jc w:val="both"/>
        <w:rPr>
          <w:sz w:val="24"/>
        </w:rPr>
      </w:pPr>
      <w:r>
        <w:rPr>
          <w:sz w:val="24"/>
        </w:rPr>
        <w:t>La marque antérieure a été enregistrée notamment pour les produits suivants : « </w:t>
      </w:r>
      <w:r>
        <w:rPr>
          <w:i/>
          <w:sz w:val="24"/>
        </w:rPr>
        <w:t>Articles de parfumerie; Produits de parfumerie et de beauté, produits pour la chevelure, savons,</w:t>
      </w:r>
      <w:r>
        <w:rPr>
          <w:i/>
          <w:spacing w:val="40"/>
          <w:sz w:val="24"/>
        </w:rPr>
        <w:t> </w:t>
      </w:r>
      <w:r>
        <w:rPr>
          <w:i/>
          <w:sz w:val="24"/>
        </w:rPr>
        <w:t>parfums, cosmétiques, eaux de toilette, préparations et lotions non médicamenteuses pour la peau, préparations et lotions pour les cheveux </w:t>
      </w:r>
      <w:r>
        <w:rPr>
          <w:sz w:val="24"/>
        </w:rPr>
        <w:t>».</w:t>
      </w:r>
    </w:p>
    <w:p>
      <w:pPr>
        <w:pStyle w:val="BodyText"/>
      </w:pPr>
    </w:p>
    <w:p>
      <w:pPr>
        <w:pStyle w:val="BodyText"/>
        <w:ind w:left="3" w:right="155"/>
        <w:jc w:val="both"/>
      </w:pPr>
      <w:r>
        <w:rPr/>
        <w:t>La société opposante soutient que les produits de la demande d'enregistrement contestée sont identiques ou similaires à ceux invoqués de la marque antérieure.</w:t>
      </w:r>
    </w:p>
    <w:p>
      <w:pPr>
        <w:pStyle w:val="BodyText"/>
      </w:pPr>
    </w:p>
    <w:p>
      <w:pPr>
        <w:pStyle w:val="BodyText"/>
        <w:spacing w:before="4"/>
      </w:pPr>
    </w:p>
    <w:p>
      <w:pPr>
        <w:spacing w:before="0"/>
        <w:ind w:left="3" w:right="141" w:firstLine="0"/>
        <w:jc w:val="both"/>
        <w:rPr>
          <w:sz w:val="24"/>
        </w:rPr>
      </w:pPr>
      <w:r>
        <w:rPr>
          <w:sz w:val="24"/>
        </w:rPr>
        <w:t>Les produits de la demande d’enregistrement contestée suivant : «</w:t>
      </w:r>
      <w:r>
        <w:rPr>
          <w:spacing w:val="-3"/>
          <w:sz w:val="24"/>
        </w:rPr>
        <w:t> </w:t>
      </w:r>
      <w:r>
        <w:rPr>
          <w:i/>
          <w:sz w:val="24"/>
        </w:rPr>
        <w:t>Lessives ; préparations pour polir ; préparations pour dégraisser ; préparations pour abraser ; savons ; parfums ; huiles essentielles ; cosmétiques ; lotions pour les cheveux ; dentifrices ; dépilatoires ; produits de</w:t>
      </w:r>
      <w:r>
        <w:rPr>
          <w:i/>
          <w:spacing w:val="-1"/>
          <w:sz w:val="24"/>
        </w:rPr>
        <w:t> </w:t>
      </w:r>
      <w:r>
        <w:rPr>
          <w:i/>
          <w:sz w:val="24"/>
        </w:rPr>
        <w:t>démaquillage ;</w:t>
      </w:r>
      <w:r>
        <w:rPr>
          <w:i/>
          <w:spacing w:val="-1"/>
          <w:sz w:val="24"/>
        </w:rPr>
        <w:t> </w:t>
      </w:r>
      <w:r>
        <w:rPr>
          <w:i/>
          <w:sz w:val="24"/>
        </w:rPr>
        <w:t>rouge à</w:t>
      </w:r>
      <w:r>
        <w:rPr>
          <w:i/>
          <w:spacing w:val="-1"/>
          <w:sz w:val="24"/>
        </w:rPr>
        <w:t> </w:t>
      </w:r>
      <w:r>
        <w:rPr>
          <w:i/>
          <w:sz w:val="24"/>
        </w:rPr>
        <w:t>lèvres ;</w:t>
      </w:r>
      <w:r>
        <w:rPr>
          <w:i/>
          <w:spacing w:val="-1"/>
          <w:sz w:val="24"/>
        </w:rPr>
        <w:t> </w:t>
      </w:r>
      <w:r>
        <w:rPr>
          <w:i/>
          <w:sz w:val="24"/>
        </w:rPr>
        <w:t>masques de</w:t>
      </w:r>
      <w:r>
        <w:rPr>
          <w:i/>
          <w:spacing w:val="-1"/>
          <w:sz w:val="24"/>
        </w:rPr>
        <w:t> </w:t>
      </w:r>
      <w:r>
        <w:rPr>
          <w:i/>
          <w:sz w:val="24"/>
        </w:rPr>
        <w:t>beauté</w:t>
      </w:r>
      <w:r>
        <w:rPr>
          <w:i/>
          <w:spacing w:val="-1"/>
          <w:sz w:val="24"/>
        </w:rPr>
        <w:t> </w:t>
      </w:r>
      <w:r>
        <w:rPr>
          <w:i/>
          <w:sz w:val="24"/>
        </w:rPr>
        <w:t>;</w:t>
      </w:r>
      <w:r>
        <w:rPr>
          <w:i/>
          <w:spacing w:val="-1"/>
          <w:sz w:val="24"/>
        </w:rPr>
        <w:t> </w:t>
      </w:r>
      <w:r>
        <w:rPr>
          <w:i/>
          <w:sz w:val="24"/>
        </w:rPr>
        <w:t>produits de</w:t>
      </w:r>
      <w:r>
        <w:rPr>
          <w:i/>
          <w:spacing w:val="-1"/>
          <w:sz w:val="24"/>
        </w:rPr>
        <w:t> </w:t>
      </w:r>
      <w:r>
        <w:rPr>
          <w:i/>
          <w:sz w:val="24"/>
        </w:rPr>
        <w:t>rasage</w:t>
      </w:r>
      <w:r>
        <w:rPr>
          <w:i/>
          <w:spacing w:val="-1"/>
          <w:sz w:val="24"/>
        </w:rPr>
        <w:t> </w:t>
      </w:r>
      <w:r>
        <w:rPr>
          <w:i/>
          <w:sz w:val="24"/>
        </w:rPr>
        <w:t>;</w:t>
      </w:r>
      <w:r>
        <w:rPr>
          <w:i/>
          <w:spacing w:val="-1"/>
          <w:sz w:val="24"/>
        </w:rPr>
        <w:t> </w:t>
      </w:r>
      <w:r>
        <w:rPr>
          <w:i/>
          <w:sz w:val="24"/>
        </w:rPr>
        <w:t>produits pour la conservation du cuir (cirages) ; crèmes pour le cuir ; savons désinfectants ; savons médicinaux ; shampooings médicamenteux ; dentifrices médicamenteux; compléments alimentaires ; articles pour pansements ; désinfectants ; produits antibactériens pour le lavage des mains ; herbicides</w:t>
      </w:r>
      <w:r>
        <w:rPr>
          <w:sz w:val="24"/>
        </w:rPr>
        <w:t>» apparaissent identiques et similaires à ceux invoqués de la marque antérieure.</w:t>
      </w:r>
    </w:p>
    <w:p>
      <w:pPr>
        <w:pStyle w:val="BodyText"/>
        <w:spacing w:before="4"/>
      </w:pPr>
    </w:p>
    <w:p>
      <w:pPr>
        <w:pStyle w:val="BodyText"/>
        <w:ind w:left="3" w:right="155"/>
        <w:jc w:val="both"/>
      </w:pPr>
      <w:r>
        <w:rPr/>
        <w:t>A cet égard, il est expressément renvoyé aux arguments développés par la société opposante, que l’Institut fait siens et auxquels le déposant n’a pas répondu.</w:t>
      </w:r>
    </w:p>
    <w:p>
      <w:pPr>
        <w:pStyle w:val="BodyText"/>
        <w:spacing w:before="4"/>
      </w:pPr>
    </w:p>
    <w:p>
      <w:pPr>
        <w:pStyle w:val="BodyText"/>
        <w:ind w:left="3" w:right="141"/>
        <w:jc w:val="both"/>
      </w:pPr>
      <w:r>
        <w:rPr/>
        <w:t>En revanche, les «</w:t>
      </w:r>
      <w:r>
        <w:rPr>
          <w:spacing w:val="-3"/>
        </w:rPr>
        <w:t> </w:t>
      </w:r>
      <w:r>
        <w:rPr>
          <w:i/>
        </w:rPr>
        <w:t>aliments pour bébés</w:t>
      </w:r>
      <w:r>
        <w:rPr>
          <w:i/>
          <w:spacing w:val="-1"/>
        </w:rPr>
        <w:t> </w:t>
      </w:r>
      <w:r>
        <w:rPr/>
        <w:t>» de la demande contestée, qui désignent des denrées alimentaires spécialement adaptées aux nourrissons, ne présentent pas la même nature, fonction et destination que les « </w:t>
      </w:r>
      <w:r>
        <w:rPr>
          <w:i/>
        </w:rPr>
        <w:t>Savons</w:t>
      </w:r>
      <w:r>
        <w:rPr>
          <w:i/>
          <w:spacing w:val="-1"/>
        </w:rPr>
        <w:t> </w:t>
      </w:r>
      <w:r>
        <w:rPr>
          <w:i/>
        </w:rPr>
        <w:t>; cosmétiques ; préparations et lotions non médicamenteuses pour la peau </w:t>
      </w:r>
      <w:r>
        <w:rPr/>
        <w:t>» qui s’entendent de préparations non médicamenteuses destinées aux soins du corps, à sa mise en beauté ou à sa toilette et ayant pour fonction d'assurer</w:t>
      </w:r>
      <w:r>
        <w:rPr>
          <w:spacing w:val="-2"/>
        </w:rPr>
        <w:t> </w:t>
      </w:r>
      <w:r>
        <w:rPr/>
        <w:t>les</w:t>
      </w:r>
      <w:r>
        <w:rPr>
          <w:spacing w:val="-3"/>
        </w:rPr>
        <w:t> </w:t>
      </w:r>
      <w:r>
        <w:rPr/>
        <w:t>soins</w:t>
      </w:r>
      <w:r>
        <w:rPr>
          <w:spacing w:val="-3"/>
        </w:rPr>
        <w:t> </w:t>
      </w:r>
      <w:r>
        <w:rPr/>
        <w:t>quotidiens</w:t>
      </w:r>
      <w:r>
        <w:rPr>
          <w:spacing w:val="-1"/>
        </w:rPr>
        <w:t> </w:t>
      </w:r>
      <w:r>
        <w:rPr/>
        <w:t>ou</w:t>
      </w:r>
      <w:r>
        <w:rPr>
          <w:spacing w:val="-3"/>
        </w:rPr>
        <w:t> </w:t>
      </w:r>
      <w:r>
        <w:rPr/>
        <w:t>ponctuels</w:t>
      </w:r>
      <w:r>
        <w:rPr>
          <w:spacing w:val="-3"/>
        </w:rPr>
        <w:t> </w:t>
      </w:r>
      <w:r>
        <w:rPr/>
        <w:t>du</w:t>
      </w:r>
      <w:r>
        <w:rPr>
          <w:spacing w:val="-3"/>
        </w:rPr>
        <w:t> </w:t>
      </w:r>
      <w:r>
        <w:rPr/>
        <w:t>corps,</w:t>
      </w:r>
      <w:r>
        <w:rPr>
          <w:spacing w:val="-3"/>
        </w:rPr>
        <w:t> </w:t>
      </w:r>
      <w:r>
        <w:rPr/>
        <w:t>destinées</w:t>
      </w:r>
      <w:r>
        <w:rPr>
          <w:spacing w:val="-1"/>
        </w:rPr>
        <w:t> </w:t>
      </w:r>
      <w:r>
        <w:rPr/>
        <w:t>à</w:t>
      </w:r>
      <w:r>
        <w:rPr>
          <w:spacing w:val="-4"/>
        </w:rPr>
        <w:t> </w:t>
      </w:r>
      <w:r>
        <w:rPr/>
        <w:t>une</w:t>
      </w:r>
      <w:r>
        <w:rPr>
          <w:spacing w:val="-2"/>
        </w:rPr>
        <w:t> </w:t>
      </w:r>
      <w:r>
        <w:rPr/>
        <w:t>clientèle soucieuse</w:t>
      </w:r>
      <w:r>
        <w:rPr>
          <w:spacing w:val="-4"/>
        </w:rPr>
        <w:t> </w:t>
      </w:r>
      <w:r>
        <w:rPr/>
        <w:t>de</w:t>
      </w:r>
      <w:r>
        <w:rPr>
          <w:spacing w:val="-2"/>
        </w:rPr>
        <w:t> </w:t>
      </w:r>
      <w:r>
        <w:rPr/>
        <w:t>son apparence physique et de son bien-être.</w:t>
      </w:r>
    </w:p>
    <w:p>
      <w:pPr>
        <w:pStyle w:val="BodyText"/>
        <w:spacing w:before="4"/>
      </w:pPr>
    </w:p>
    <w:p>
      <w:pPr>
        <w:pStyle w:val="BodyText"/>
        <w:spacing w:before="1"/>
        <w:ind w:left="3" w:right="140"/>
        <w:jc w:val="both"/>
      </w:pPr>
      <w:r>
        <w:rPr/>
        <w:t>En effet, ces produits ne répondent pas aux mêmes besoins (répondre aux besoins naturels d'alimentation propres aux enfants en bas âge pour les premiers, et fonction d’hygiène ou esthétique</w:t>
      </w:r>
      <w:r>
        <w:rPr>
          <w:spacing w:val="-1"/>
        </w:rPr>
        <w:t> </w:t>
      </w:r>
      <w:r>
        <w:rPr/>
        <w:t>pour</w:t>
      </w:r>
      <w:r>
        <w:rPr>
          <w:spacing w:val="-4"/>
        </w:rPr>
        <w:t> </w:t>
      </w:r>
      <w:r>
        <w:rPr/>
        <w:t>les</w:t>
      </w:r>
      <w:r>
        <w:rPr>
          <w:spacing w:val="-4"/>
        </w:rPr>
        <w:t> </w:t>
      </w:r>
      <w:r>
        <w:rPr/>
        <w:t>seconds)</w:t>
      </w:r>
      <w:r>
        <w:rPr>
          <w:spacing w:val="-1"/>
        </w:rPr>
        <w:t> </w:t>
      </w:r>
      <w:r>
        <w:rPr/>
        <w:t>et</w:t>
      </w:r>
      <w:r>
        <w:rPr>
          <w:spacing w:val="-5"/>
        </w:rPr>
        <w:t> </w:t>
      </w:r>
      <w:r>
        <w:rPr/>
        <w:t>ne</w:t>
      </w:r>
      <w:r>
        <w:rPr>
          <w:spacing w:val="-3"/>
        </w:rPr>
        <w:t> </w:t>
      </w:r>
      <w:r>
        <w:rPr/>
        <w:t>s'adressent</w:t>
      </w:r>
      <w:r>
        <w:rPr>
          <w:spacing w:val="-5"/>
        </w:rPr>
        <w:t> </w:t>
      </w:r>
      <w:r>
        <w:rPr/>
        <w:t>pas</w:t>
      </w:r>
      <w:r>
        <w:rPr>
          <w:spacing w:val="-4"/>
        </w:rPr>
        <w:t> </w:t>
      </w:r>
      <w:r>
        <w:rPr/>
        <w:t>aux</w:t>
      </w:r>
      <w:r>
        <w:rPr>
          <w:spacing w:val="-4"/>
        </w:rPr>
        <w:t> </w:t>
      </w:r>
      <w:r>
        <w:rPr/>
        <w:t>mêmes</w:t>
      </w:r>
      <w:r>
        <w:rPr>
          <w:spacing w:val="-2"/>
        </w:rPr>
        <w:t> </w:t>
      </w:r>
      <w:r>
        <w:rPr/>
        <w:t>personnes</w:t>
      </w:r>
      <w:r>
        <w:rPr>
          <w:spacing w:val="-4"/>
        </w:rPr>
        <w:t> </w:t>
      </w:r>
      <w:r>
        <w:rPr/>
        <w:t>(nourrissons ayant</w:t>
      </w:r>
      <w:r>
        <w:rPr>
          <w:spacing w:val="-3"/>
        </w:rPr>
        <w:t> </w:t>
      </w:r>
      <w:r>
        <w:rPr/>
        <w:t>des besoins nutritionnels spécifiques pour les premiers, personnes désireuses de mettre leur corps en beauté ou de maintenir propre un corps, pour les seconds).</w:t>
      </w:r>
    </w:p>
    <w:p>
      <w:pPr>
        <w:pStyle w:val="BodyText"/>
        <w:spacing w:before="4"/>
      </w:pPr>
    </w:p>
    <w:p>
      <w:pPr>
        <w:pStyle w:val="BodyText"/>
        <w:ind w:left="3" w:right="161"/>
        <w:jc w:val="both"/>
      </w:pPr>
      <w:r>
        <w:rPr/>
        <w:t>De</w:t>
      </w:r>
      <w:r>
        <w:rPr>
          <w:spacing w:val="-1"/>
        </w:rPr>
        <w:t> </w:t>
      </w:r>
      <w:r>
        <w:rPr/>
        <w:t>plus, si, comme le soulève</w:t>
      </w:r>
      <w:r>
        <w:rPr>
          <w:spacing w:val="-1"/>
        </w:rPr>
        <w:t> </w:t>
      </w:r>
      <w:r>
        <w:rPr/>
        <w:t>la société opposante, ces produits peuvent être vendus dans des magasins et sur des sites internet de puériculture, ils seront néanmoins proposés sur des étalages et onglets différents, selon des modalités distinctes.</w:t>
      </w:r>
    </w:p>
    <w:p>
      <w:pPr>
        <w:pStyle w:val="BodyText"/>
        <w:spacing w:before="4"/>
      </w:pPr>
    </w:p>
    <w:p>
      <w:pPr>
        <w:pStyle w:val="BodyText"/>
        <w:ind w:left="3"/>
        <w:jc w:val="both"/>
      </w:pPr>
      <w:r>
        <w:rPr/>
        <w:t>Il</w:t>
      </w:r>
      <w:r>
        <w:rPr>
          <w:spacing w:val="-2"/>
        </w:rPr>
        <w:t> </w:t>
      </w:r>
      <w:r>
        <w:rPr/>
        <w:t>ne</w:t>
      </w:r>
      <w:r>
        <w:rPr>
          <w:spacing w:val="-4"/>
        </w:rPr>
        <w:t> </w:t>
      </w:r>
      <w:r>
        <w:rPr/>
        <w:t>s’agit</w:t>
      </w:r>
      <w:r>
        <w:rPr>
          <w:spacing w:val="-4"/>
        </w:rPr>
        <w:t> </w:t>
      </w:r>
      <w:r>
        <w:rPr/>
        <w:t>donc</w:t>
      </w:r>
      <w:r>
        <w:rPr>
          <w:spacing w:val="-1"/>
        </w:rPr>
        <w:t> </w:t>
      </w:r>
      <w:r>
        <w:rPr/>
        <w:t>pas</w:t>
      </w:r>
      <w:r>
        <w:rPr>
          <w:spacing w:val="-3"/>
        </w:rPr>
        <w:t> </w:t>
      </w:r>
      <w:r>
        <w:rPr/>
        <w:t>de</w:t>
      </w:r>
      <w:r>
        <w:rPr>
          <w:spacing w:val="-4"/>
        </w:rPr>
        <w:t> </w:t>
      </w:r>
      <w:r>
        <w:rPr/>
        <w:t>produits</w:t>
      </w:r>
      <w:r>
        <w:rPr>
          <w:spacing w:val="-2"/>
        </w:rPr>
        <w:t> similaires.</w:t>
      </w:r>
    </w:p>
    <w:p>
      <w:pPr>
        <w:pStyle w:val="BodyText"/>
        <w:spacing w:before="4"/>
      </w:pPr>
    </w:p>
    <w:p>
      <w:pPr>
        <w:spacing w:before="0"/>
        <w:ind w:left="3" w:right="141" w:firstLine="0"/>
        <w:jc w:val="both"/>
        <w:rPr>
          <w:sz w:val="24"/>
        </w:rPr>
      </w:pPr>
      <w:r>
        <w:rPr>
          <w:sz w:val="24"/>
        </w:rPr>
        <w:t>Les «</w:t>
      </w:r>
      <w:r>
        <w:rPr>
          <w:spacing w:val="-3"/>
          <w:sz w:val="24"/>
        </w:rPr>
        <w:t> </w:t>
      </w:r>
      <w:r>
        <w:rPr>
          <w:i/>
          <w:sz w:val="24"/>
        </w:rPr>
        <w:t>produits pour la destruction des animaux nuisibles ; fongicides ; parasiticides </w:t>
      </w:r>
      <w:r>
        <w:rPr>
          <w:sz w:val="24"/>
        </w:rPr>
        <w:t>» de la demande contestée, désignant des substances visant à détruire par des procédés physiques ou</w:t>
      </w:r>
    </w:p>
    <w:p>
      <w:pPr>
        <w:spacing w:after="0"/>
        <w:jc w:val="both"/>
        <w:rPr>
          <w:sz w:val="24"/>
        </w:rPr>
        <w:sectPr>
          <w:pgSz w:w="11910" w:h="16840"/>
          <w:pgMar w:header="0" w:footer="840" w:top="1900" w:bottom="1040" w:left="1417" w:right="1275"/>
        </w:sectPr>
      </w:pPr>
    </w:p>
    <w:p>
      <w:pPr>
        <w:pStyle w:val="BodyText"/>
        <w:spacing w:before="68"/>
        <w:ind w:left="3"/>
        <w:jc w:val="both"/>
      </w:pPr>
      <w:r>
        <w:rPr/>
        <w:t>chimiques, divers</w:t>
      </w:r>
      <w:r>
        <w:rPr>
          <w:spacing w:val="-1"/>
        </w:rPr>
        <w:t> </w:t>
      </w:r>
      <w:r>
        <w:rPr/>
        <w:t>parasites</w:t>
      </w:r>
      <w:r>
        <w:rPr>
          <w:spacing w:val="2"/>
        </w:rPr>
        <w:t> </w:t>
      </w:r>
      <w:r>
        <w:rPr/>
        <w:t>ne</w:t>
      </w:r>
      <w:r>
        <w:rPr>
          <w:spacing w:val="-3"/>
        </w:rPr>
        <w:t> </w:t>
      </w:r>
      <w:r>
        <w:rPr/>
        <w:t>présentent</w:t>
      </w:r>
      <w:r>
        <w:rPr>
          <w:spacing w:val="-1"/>
        </w:rPr>
        <w:t> </w:t>
      </w:r>
      <w:r>
        <w:rPr/>
        <w:t>pas les</w:t>
      </w:r>
      <w:r>
        <w:rPr>
          <w:spacing w:val="-3"/>
        </w:rPr>
        <w:t> </w:t>
      </w:r>
      <w:r>
        <w:rPr/>
        <w:t>mêmes nature,</w:t>
      </w:r>
      <w:r>
        <w:rPr>
          <w:spacing w:val="-2"/>
        </w:rPr>
        <w:t> </w:t>
      </w:r>
      <w:r>
        <w:rPr/>
        <w:t>fonction</w:t>
      </w:r>
      <w:r>
        <w:rPr>
          <w:spacing w:val="-1"/>
        </w:rPr>
        <w:t> </w:t>
      </w:r>
      <w:r>
        <w:rPr/>
        <w:t>et</w:t>
      </w:r>
      <w:r>
        <w:rPr>
          <w:spacing w:val="-3"/>
        </w:rPr>
        <w:t> </w:t>
      </w:r>
      <w:r>
        <w:rPr/>
        <w:t>destination que</w:t>
      </w:r>
      <w:r>
        <w:rPr>
          <w:spacing w:val="-2"/>
        </w:rPr>
        <w:t> </w:t>
      </w:r>
      <w:r>
        <w:rPr>
          <w:spacing w:val="-5"/>
        </w:rPr>
        <w:t>les</w:t>
      </w:r>
    </w:p>
    <w:p>
      <w:pPr>
        <w:pStyle w:val="BodyText"/>
        <w:ind w:left="3"/>
        <w:jc w:val="both"/>
      </w:pPr>
      <w:r>
        <w:rPr/>
        <w:t>«</w:t>
      </w:r>
      <w:r>
        <w:rPr>
          <w:spacing w:val="-4"/>
        </w:rPr>
        <w:t> </w:t>
      </w:r>
      <w:r>
        <w:rPr>
          <w:i/>
        </w:rPr>
        <w:t>Savons</w:t>
      </w:r>
      <w:r>
        <w:rPr>
          <w:i/>
          <w:spacing w:val="-3"/>
        </w:rPr>
        <w:t> </w:t>
      </w:r>
      <w:r>
        <w:rPr/>
        <w:t>»</w:t>
      </w:r>
      <w:r>
        <w:rPr>
          <w:spacing w:val="-4"/>
        </w:rPr>
        <w:t> </w:t>
      </w:r>
      <w:r>
        <w:rPr/>
        <w:t>de</w:t>
      </w:r>
      <w:r>
        <w:rPr>
          <w:spacing w:val="-2"/>
        </w:rPr>
        <w:t> </w:t>
      </w:r>
      <w:r>
        <w:rPr/>
        <w:t>la</w:t>
      </w:r>
      <w:r>
        <w:rPr>
          <w:spacing w:val="-5"/>
        </w:rPr>
        <w:t> </w:t>
      </w:r>
      <w:r>
        <w:rPr/>
        <w:t>marque</w:t>
      </w:r>
      <w:r>
        <w:rPr>
          <w:spacing w:val="-3"/>
        </w:rPr>
        <w:t> </w:t>
      </w:r>
      <w:r>
        <w:rPr/>
        <w:t>antérieure,</w:t>
      </w:r>
      <w:r>
        <w:rPr>
          <w:spacing w:val="-1"/>
        </w:rPr>
        <w:t> </w:t>
      </w:r>
      <w:r>
        <w:rPr/>
        <w:t>qui</w:t>
      </w:r>
      <w:r>
        <w:rPr>
          <w:spacing w:val="-4"/>
        </w:rPr>
        <w:t> </w:t>
      </w:r>
      <w:r>
        <w:rPr/>
        <w:t>s’entendent</w:t>
      </w:r>
      <w:r>
        <w:rPr>
          <w:spacing w:val="-3"/>
        </w:rPr>
        <w:t> </w:t>
      </w:r>
      <w:r>
        <w:rPr/>
        <w:t>de</w:t>
      </w:r>
      <w:r>
        <w:rPr>
          <w:spacing w:val="-5"/>
        </w:rPr>
        <w:t> </w:t>
      </w:r>
      <w:r>
        <w:rPr/>
        <w:t>produits</w:t>
      </w:r>
      <w:r>
        <w:rPr>
          <w:spacing w:val="-1"/>
        </w:rPr>
        <w:t> </w:t>
      </w:r>
      <w:r>
        <w:rPr>
          <w:spacing w:val="-2"/>
        </w:rPr>
        <w:t>nettoyants.</w:t>
      </w:r>
    </w:p>
    <w:p>
      <w:pPr>
        <w:pStyle w:val="BodyText"/>
      </w:pPr>
    </w:p>
    <w:p>
      <w:pPr>
        <w:pStyle w:val="BodyText"/>
        <w:ind w:left="3" w:right="147"/>
        <w:jc w:val="both"/>
      </w:pPr>
      <w:r>
        <w:rPr/>
        <w:t>Les produits précités ne sont pas plus unis par un lien étroit et obligatoire, contrairement à ce qu’affirme la société opposante, les premiers ne nécessitant pas le recours aux seconds pour leur mise en œuvre, lesquels n’ont pas pour objet les premiers.</w:t>
      </w:r>
    </w:p>
    <w:p>
      <w:pPr>
        <w:pStyle w:val="BodyText"/>
      </w:pPr>
    </w:p>
    <w:p>
      <w:pPr>
        <w:pStyle w:val="BodyText"/>
        <w:ind w:left="3"/>
        <w:jc w:val="both"/>
      </w:pPr>
      <w:r>
        <w:rPr/>
        <w:t>Il</w:t>
      </w:r>
      <w:r>
        <w:rPr>
          <w:spacing w:val="-4"/>
        </w:rPr>
        <w:t> </w:t>
      </w:r>
      <w:r>
        <w:rPr/>
        <w:t>ne</w:t>
      </w:r>
      <w:r>
        <w:rPr>
          <w:spacing w:val="-4"/>
        </w:rPr>
        <w:t> </w:t>
      </w:r>
      <w:r>
        <w:rPr/>
        <w:t>s’agit</w:t>
      </w:r>
      <w:r>
        <w:rPr>
          <w:spacing w:val="-4"/>
        </w:rPr>
        <w:t> </w:t>
      </w:r>
      <w:r>
        <w:rPr/>
        <w:t>donc</w:t>
      </w:r>
      <w:r>
        <w:rPr>
          <w:spacing w:val="-2"/>
        </w:rPr>
        <w:t> </w:t>
      </w:r>
      <w:r>
        <w:rPr/>
        <w:t>pas</w:t>
      </w:r>
      <w:r>
        <w:rPr>
          <w:spacing w:val="-3"/>
        </w:rPr>
        <w:t> </w:t>
      </w:r>
      <w:r>
        <w:rPr/>
        <w:t>de</w:t>
      </w:r>
      <w:r>
        <w:rPr>
          <w:spacing w:val="-4"/>
        </w:rPr>
        <w:t> </w:t>
      </w:r>
      <w:r>
        <w:rPr/>
        <w:t>produits</w:t>
      </w:r>
      <w:r>
        <w:rPr>
          <w:spacing w:val="-3"/>
        </w:rPr>
        <w:t> </w:t>
      </w:r>
      <w:r>
        <w:rPr/>
        <w:t>similaires,</w:t>
      </w:r>
      <w:r>
        <w:rPr>
          <w:spacing w:val="-2"/>
        </w:rPr>
        <w:t> </w:t>
      </w:r>
      <w:r>
        <w:rPr/>
        <w:t>ni</w:t>
      </w:r>
      <w:r>
        <w:rPr>
          <w:spacing w:val="-3"/>
        </w:rPr>
        <w:t> </w:t>
      </w:r>
      <w:r>
        <w:rPr>
          <w:spacing w:val="-2"/>
        </w:rPr>
        <w:t>complémentaires.</w:t>
      </w:r>
    </w:p>
    <w:p>
      <w:pPr>
        <w:pStyle w:val="BodyText"/>
      </w:pPr>
    </w:p>
    <w:p>
      <w:pPr>
        <w:pStyle w:val="BodyText"/>
        <w:ind w:left="3" w:right="139"/>
        <w:jc w:val="both"/>
      </w:pPr>
      <w:r>
        <w:rPr/>
        <w:t>Les «</w:t>
      </w:r>
      <w:r>
        <w:rPr>
          <w:spacing w:val="-3"/>
        </w:rPr>
        <w:t> </w:t>
      </w:r>
      <w:r>
        <w:rPr>
          <w:i/>
        </w:rPr>
        <w:t>culottes hygiéniques ; serviettes hygiéniques </w:t>
      </w:r>
      <w:r>
        <w:rPr/>
        <w:t>» de la demande d’enregistrement qui consistent en des protections hygiéniques utilisées lors des menstruations ou encore des fuites urinaires, ne présentent pas les mêmes nature, fonction et destination que les « </w:t>
      </w:r>
      <w:r>
        <w:rPr>
          <w:i/>
        </w:rPr>
        <w:t>Savons</w:t>
      </w:r>
      <w:r>
        <w:rPr>
          <w:i/>
          <w:spacing w:val="-2"/>
        </w:rPr>
        <w:t> </w:t>
      </w:r>
      <w:r>
        <w:rPr/>
        <w:t>» de la marque antérieure, tels que précédemment définis.</w:t>
      </w:r>
    </w:p>
    <w:p>
      <w:pPr>
        <w:pStyle w:val="BodyText"/>
        <w:spacing w:before="4"/>
      </w:pPr>
    </w:p>
    <w:p>
      <w:pPr>
        <w:pStyle w:val="BodyText"/>
        <w:ind w:left="3"/>
        <w:jc w:val="both"/>
      </w:pPr>
      <w:r>
        <w:rPr/>
        <w:t>Il</w:t>
      </w:r>
      <w:r>
        <w:rPr>
          <w:spacing w:val="-2"/>
        </w:rPr>
        <w:t> </w:t>
      </w:r>
      <w:r>
        <w:rPr/>
        <w:t>ne</w:t>
      </w:r>
      <w:r>
        <w:rPr>
          <w:spacing w:val="-4"/>
        </w:rPr>
        <w:t> </w:t>
      </w:r>
      <w:r>
        <w:rPr/>
        <w:t>s’agit</w:t>
      </w:r>
      <w:r>
        <w:rPr>
          <w:spacing w:val="-4"/>
        </w:rPr>
        <w:t> </w:t>
      </w:r>
      <w:r>
        <w:rPr/>
        <w:t>donc</w:t>
      </w:r>
      <w:r>
        <w:rPr>
          <w:spacing w:val="-1"/>
        </w:rPr>
        <w:t> </w:t>
      </w:r>
      <w:r>
        <w:rPr/>
        <w:t>pas</w:t>
      </w:r>
      <w:r>
        <w:rPr>
          <w:spacing w:val="-3"/>
        </w:rPr>
        <w:t> </w:t>
      </w:r>
      <w:r>
        <w:rPr/>
        <w:t>de</w:t>
      </w:r>
      <w:r>
        <w:rPr>
          <w:spacing w:val="-4"/>
        </w:rPr>
        <w:t> </w:t>
      </w:r>
      <w:r>
        <w:rPr/>
        <w:t>produits</w:t>
      </w:r>
      <w:r>
        <w:rPr>
          <w:spacing w:val="-2"/>
        </w:rPr>
        <w:t> similaires.</w:t>
      </w:r>
    </w:p>
    <w:p>
      <w:pPr>
        <w:pStyle w:val="BodyText"/>
        <w:spacing w:before="4"/>
      </w:pPr>
    </w:p>
    <w:p>
      <w:pPr>
        <w:pStyle w:val="BodyText"/>
        <w:ind w:left="3" w:right="141"/>
        <w:jc w:val="both"/>
      </w:pPr>
      <w:r>
        <w:rPr/>
        <w:t>Enfin, les « </w:t>
      </w:r>
      <w:r>
        <w:rPr>
          <w:i/>
        </w:rPr>
        <w:t>tisanes médicinales ; herbes médicinales </w:t>
      </w:r>
      <w:r>
        <w:rPr/>
        <w:t>» qui s’entendent de substances ou de compositions relevant du monopole pharmaceutique et employées dans le traitement curatif</w:t>
      </w:r>
      <w:r>
        <w:rPr>
          <w:spacing w:val="40"/>
        </w:rPr>
        <w:t> </w:t>
      </w:r>
      <w:r>
        <w:rPr/>
        <w:t>ou préventif de différentes affections, ou encore pour répondre à des besoins nutritionnels spécifiques, par</w:t>
      </w:r>
      <w:r>
        <w:rPr>
          <w:spacing w:val="-2"/>
        </w:rPr>
        <w:t> </w:t>
      </w:r>
      <w:r>
        <w:rPr/>
        <w:t>leurs actions</w:t>
      </w:r>
      <w:r>
        <w:rPr>
          <w:spacing w:val="-1"/>
        </w:rPr>
        <w:t> </w:t>
      </w:r>
      <w:r>
        <w:rPr/>
        <w:t>internes ou</w:t>
      </w:r>
      <w:r>
        <w:rPr>
          <w:spacing w:val="-2"/>
        </w:rPr>
        <w:t> </w:t>
      </w:r>
      <w:r>
        <w:rPr/>
        <w:t>externes sur</w:t>
      </w:r>
      <w:r>
        <w:rPr>
          <w:spacing w:val="-2"/>
        </w:rPr>
        <w:t> </w:t>
      </w:r>
      <w:r>
        <w:rPr/>
        <w:t>le</w:t>
      </w:r>
      <w:r>
        <w:rPr>
          <w:spacing w:val="-2"/>
        </w:rPr>
        <w:t> </w:t>
      </w:r>
      <w:r>
        <w:rPr/>
        <w:t>corps</w:t>
      </w:r>
      <w:r>
        <w:rPr>
          <w:spacing w:val="-1"/>
        </w:rPr>
        <w:t> </w:t>
      </w:r>
      <w:r>
        <w:rPr/>
        <w:t>humain ou</w:t>
      </w:r>
      <w:r>
        <w:rPr>
          <w:spacing w:val="-2"/>
        </w:rPr>
        <w:t> </w:t>
      </w:r>
      <w:r>
        <w:rPr/>
        <w:t>bien sur</w:t>
      </w:r>
      <w:r>
        <w:rPr>
          <w:spacing w:val="-2"/>
        </w:rPr>
        <w:t> </w:t>
      </w:r>
      <w:r>
        <w:rPr/>
        <w:t>les animaux ne présentent pas les mêmes nature, fonction et destination que les « </w:t>
      </w:r>
      <w:r>
        <w:rPr>
          <w:i/>
        </w:rPr>
        <w:t>Cosmétiques </w:t>
      </w:r>
      <w:r>
        <w:rPr/>
        <w:t>» de la marque antérieure, tels que précédemment définis.</w:t>
      </w:r>
    </w:p>
    <w:p>
      <w:pPr>
        <w:pStyle w:val="BodyText"/>
        <w:spacing w:before="4"/>
      </w:pPr>
    </w:p>
    <w:p>
      <w:pPr>
        <w:pStyle w:val="BodyText"/>
        <w:ind w:left="3" w:right="163"/>
        <w:jc w:val="both"/>
      </w:pPr>
      <w:r>
        <w:rPr/>
        <w:t>À cet égard, si ces produits peuvent se retrouver dans des officines pharmaceutiques, ils sont alors vendus dans des présentoirs différents, selon des modalités distinctes.</w:t>
      </w:r>
    </w:p>
    <w:p>
      <w:pPr>
        <w:pStyle w:val="BodyText"/>
      </w:pPr>
    </w:p>
    <w:p>
      <w:pPr>
        <w:pStyle w:val="BodyText"/>
        <w:ind w:left="3" w:right="147"/>
        <w:jc w:val="both"/>
      </w:pPr>
      <w:r>
        <w:rPr/>
        <w:t>Les produits précités ne sont pas plus unis par un lien étroit et obligatoire, contrairement à ce qu’affirme la société opposante, les premiers ne nécessitant pas le recours aux seconds pour leur mise en œuvre, lesquels n’ont pas pour objet les premiers.</w:t>
      </w:r>
    </w:p>
    <w:p>
      <w:pPr>
        <w:pStyle w:val="BodyText"/>
      </w:pPr>
    </w:p>
    <w:p>
      <w:pPr>
        <w:pStyle w:val="BodyText"/>
        <w:spacing w:before="1"/>
        <w:ind w:left="3"/>
        <w:jc w:val="both"/>
      </w:pPr>
      <w:r>
        <w:rPr/>
        <w:t>Il</w:t>
      </w:r>
      <w:r>
        <w:rPr>
          <w:spacing w:val="-4"/>
        </w:rPr>
        <w:t> </w:t>
      </w:r>
      <w:r>
        <w:rPr/>
        <w:t>ne</w:t>
      </w:r>
      <w:r>
        <w:rPr>
          <w:spacing w:val="-4"/>
        </w:rPr>
        <w:t> </w:t>
      </w:r>
      <w:r>
        <w:rPr/>
        <w:t>s’agit</w:t>
      </w:r>
      <w:r>
        <w:rPr>
          <w:spacing w:val="-4"/>
        </w:rPr>
        <w:t> </w:t>
      </w:r>
      <w:r>
        <w:rPr/>
        <w:t>donc</w:t>
      </w:r>
      <w:r>
        <w:rPr>
          <w:spacing w:val="-2"/>
        </w:rPr>
        <w:t> </w:t>
      </w:r>
      <w:r>
        <w:rPr/>
        <w:t>pas</w:t>
      </w:r>
      <w:r>
        <w:rPr>
          <w:spacing w:val="-3"/>
        </w:rPr>
        <w:t> </w:t>
      </w:r>
      <w:r>
        <w:rPr/>
        <w:t>de</w:t>
      </w:r>
      <w:r>
        <w:rPr>
          <w:spacing w:val="-4"/>
        </w:rPr>
        <w:t> </w:t>
      </w:r>
      <w:r>
        <w:rPr/>
        <w:t>produits</w:t>
      </w:r>
      <w:r>
        <w:rPr>
          <w:spacing w:val="-3"/>
        </w:rPr>
        <w:t> </w:t>
      </w:r>
      <w:r>
        <w:rPr/>
        <w:t>similaires,</w:t>
      </w:r>
      <w:r>
        <w:rPr>
          <w:spacing w:val="-2"/>
        </w:rPr>
        <w:t> </w:t>
      </w:r>
      <w:r>
        <w:rPr/>
        <w:t>ni</w:t>
      </w:r>
      <w:r>
        <w:rPr>
          <w:spacing w:val="-3"/>
        </w:rPr>
        <w:t> </w:t>
      </w:r>
      <w:r>
        <w:rPr>
          <w:spacing w:val="-2"/>
        </w:rPr>
        <w:t>complémentaires.</w:t>
      </w:r>
    </w:p>
    <w:p>
      <w:pPr>
        <w:pStyle w:val="BodyText"/>
        <w:spacing w:before="276"/>
        <w:ind w:left="3" w:right="153"/>
        <w:jc w:val="both"/>
      </w:pPr>
      <w:r>
        <w:rPr/>
        <w:t>En conséquence, les produits de la demande d’enregistrement contestée apparaissent, pour partie, identiques ou similaires à ceux invoqués de la marque antérieure.</w:t>
      </w:r>
    </w:p>
    <w:p>
      <w:pPr>
        <w:pStyle w:val="BodyText"/>
      </w:pPr>
    </w:p>
    <w:p>
      <w:pPr>
        <w:pStyle w:val="BodyText"/>
        <w:spacing w:before="20"/>
      </w:pPr>
    </w:p>
    <w:p>
      <w:pPr>
        <w:pStyle w:val="Heading1"/>
        <w:ind w:left="543"/>
      </w:pPr>
      <w:r>
        <w:rPr/>
        <w:t>Sur</w:t>
      </w:r>
      <w:r>
        <w:rPr>
          <w:spacing w:val="8"/>
        </w:rPr>
        <w:t> </w:t>
      </w:r>
      <w:r>
        <w:rPr/>
        <w:t>la</w:t>
      </w:r>
      <w:r>
        <w:rPr>
          <w:spacing w:val="9"/>
        </w:rPr>
        <w:t> </w:t>
      </w:r>
      <w:r>
        <w:rPr/>
        <w:t>comparaison</w:t>
      </w:r>
      <w:r>
        <w:rPr>
          <w:spacing w:val="7"/>
        </w:rPr>
        <w:t> </w:t>
      </w:r>
      <w:r>
        <w:rPr/>
        <w:t>des</w:t>
      </w:r>
      <w:r>
        <w:rPr>
          <w:spacing w:val="7"/>
        </w:rPr>
        <w:t> </w:t>
      </w:r>
      <w:r>
        <w:rPr>
          <w:spacing w:val="-2"/>
        </w:rPr>
        <w:t>signes</w:t>
      </w:r>
    </w:p>
    <w:p>
      <w:pPr>
        <w:pStyle w:val="BodyText"/>
        <w:spacing w:before="25"/>
        <w:rPr>
          <w:rFonts w:ascii="Cambria"/>
          <w:b/>
        </w:rPr>
      </w:pPr>
    </w:p>
    <w:p>
      <w:pPr>
        <w:pStyle w:val="BodyText"/>
        <w:ind w:left="3"/>
        <w:jc w:val="both"/>
      </w:pPr>
      <w:r>
        <w:rPr/>
        <w:t>La</w:t>
      </w:r>
      <w:r>
        <w:rPr>
          <w:spacing w:val="-6"/>
        </w:rPr>
        <w:t> </w:t>
      </w:r>
      <w:r>
        <w:rPr/>
        <w:t>demande</w:t>
      </w:r>
      <w:r>
        <w:rPr>
          <w:spacing w:val="-4"/>
        </w:rPr>
        <w:t> </w:t>
      </w:r>
      <w:r>
        <w:rPr/>
        <w:t>d’enregistrement</w:t>
      </w:r>
      <w:r>
        <w:rPr>
          <w:spacing w:val="-3"/>
        </w:rPr>
        <w:t> </w:t>
      </w:r>
      <w:r>
        <w:rPr/>
        <w:t>porte</w:t>
      </w:r>
      <w:r>
        <w:rPr>
          <w:spacing w:val="-4"/>
        </w:rPr>
        <w:t> </w:t>
      </w:r>
      <w:r>
        <w:rPr/>
        <w:t>sur</w:t>
      </w:r>
      <w:r>
        <w:rPr>
          <w:spacing w:val="-4"/>
        </w:rPr>
        <w:t> </w:t>
      </w:r>
      <w:r>
        <w:rPr/>
        <w:t>le</w:t>
      </w:r>
      <w:r>
        <w:rPr>
          <w:spacing w:val="-4"/>
        </w:rPr>
        <w:t> </w:t>
      </w:r>
      <w:r>
        <w:rPr/>
        <w:t>signe</w:t>
      </w:r>
      <w:r>
        <w:rPr>
          <w:spacing w:val="-6"/>
        </w:rPr>
        <w:t> </w:t>
      </w:r>
      <w:r>
        <w:rPr/>
        <w:t>verbal JOYLIFE,</w:t>
      </w:r>
      <w:r>
        <w:rPr>
          <w:spacing w:val="-5"/>
        </w:rPr>
        <w:t> </w:t>
      </w:r>
      <w:r>
        <w:rPr/>
        <w:t>ci-dessous</w:t>
      </w:r>
      <w:r>
        <w:rPr>
          <w:spacing w:val="-5"/>
        </w:rPr>
        <w:t> </w:t>
      </w:r>
      <w:r>
        <w:rPr/>
        <w:t>reproduit</w:t>
      </w:r>
      <w:r>
        <w:rPr>
          <w:spacing w:val="-3"/>
        </w:rPr>
        <w:t> </w:t>
      </w:r>
      <w:r>
        <w:rPr>
          <w:spacing w:val="-10"/>
        </w:rPr>
        <w:t>:</w:t>
      </w:r>
    </w:p>
    <w:p>
      <w:pPr>
        <w:pStyle w:val="BodyText"/>
        <w:spacing w:before="25"/>
        <w:rPr>
          <w:sz w:val="20"/>
        </w:rPr>
      </w:pPr>
      <w:r>
        <w:rPr>
          <w:sz w:val="20"/>
        </w:rPr>
        <w:drawing>
          <wp:anchor distT="0" distB="0" distL="0" distR="0" allowOverlap="1" layoutInCell="1" locked="0" behindDoc="1" simplePos="0" relativeHeight="487589376">
            <wp:simplePos x="0" y="0"/>
            <wp:positionH relativeFrom="page">
              <wp:posOffset>3071495</wp:posOffset>
            </wp:positionH>
            <wp:positionV relativeFrom="paragraph">
              <wp:posOffset>177374</wp:posOffset>
            </wp:positionV>
            <wp:extent cx="1412335" cy="207454"/>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8" cstate="print"/>
                    <a:stretch>
                      <a:fillRect/>
                    </a:stretch>
                  </pic:blipFill>
                  <pic:spPr>
                    <a:xfrm>
                      <a:off x="0" y="0"/>
                      <a:ext cx="1412335" cy="207454"/>
                    </a:xfrm>
                    <a:prstGeom prst="rect">
                      <a:avLst/>
                    </a:prstGeom>
                  </pic:spPr>
                </pic:pic>
              </a:graphicData>
            </a:graphic>
          </wp:anchor>
        </w:drawing>
      </w:r>
    </w:p>
    <w:p>
      <w:pPr>
        <w:pStyle w:val="BodyText"/>
        <w:spacing w:before="242"/>
        <w:ind w:left="3"/>
        <w:jc w:val="both"/>
      </w:pPr>
      <w:r>
        <w:rPr/>
        <w:t>La</w:t>
      </w:r>
      <w:r>
        <w:rPr>
          <w:spacing w:val="-5"/>
        </w:rPr>
        <w:t> </w:t>
      </w:r>
      <w:r>
        <w:rPr/>
        <w:t>marque</w:t>
      </w:r>
      <w:r>
        <w:rPr>
          <w:spacing w:val="-3"/>
        </w:rPr>
        <w:t> </w:t>
      </w:r>
      <w:r>
        <w:rPr/>
        <w:t>antérieure</w:t>
      </w:r>
      <w:r>
        <w:rPr>
          <w:spacing w:val="-2"/>
        </w:rPr>
        <w:t> </w:t>
      </w:r>
      <w:r>
        <w:rPr/>
        <w:t>porte</w:t>
      </w:r>
      <w:r>
        <w:rPr>
          <w:spacing w:val="-3"/>
        </w:rPr>
        <w:t> </w:t>
      </w:r>
      <w:r>
        <w:rPr/>
        <w:t>sur</w:t>
      </w:r>
      <w:r>
        <w:rPr>
          <w:spacing w:val="-3"/>
        </w:rPr>
        <w:t> </w:t>
      </w:r>
      <w:r>
        <w:rPr/>
        <w:t>le</w:t>
      </w:r>
      <w:r>
        <w:rPr>
          <w:spacing w:val="-4"/>
        </w:rPr>
        <w:t> </w:t>
      </w:r>
      <w:r>
        <w:rPr/>
        <w:t>signe</w:t>
      </w:r>
      <w:r>
        <w:rPr>
          <w:spacing w:val="-5"/>
        </w:rPr>
        <w:t> </w:t>
      </w:r>
      <w:r>
        <w:rPr/>
        <w:t>verbal</w:t>
      </w:r>
      <w:r>
        <w:rPr>
          <w:spacing w:val="2"/>
        </w:rPr>
        <w:t> </w:t>
      </w:r>
      <w:r>
        <w:rPr>
          <w:spacing w:val="-4"/>
        </w:rPr>
        <w:t>JOY.</w:t>
      </w:r>
    </w:p>
    <w:p>
      <w:pPr>
        <w:pStyle w:val="BodyText"/>
        <w:spacing w:before="4"/>
      </w:pPr>
    </w:p>
    <w:p>
      <w:pPr>
        <w:pStyle w:val="BodyText"/>
        <w:ind w:left="3"/>
        <w:jc w:val="both"/>
      </w:pPr>
      <w:r>
        <w:rPr/>
        <w:t>La</w:t>
      </w:r>
      <w:r>
        <w:rPr>
          <w:spacing w:val="-5"/>
        </w:rPr>
        <w:t> </w:t>
      </w:r>
      <w:r>
        <w:rPr/>
        <w:t>société</w:t>
      </w:r>
      <w:r>
        <w:rPr>
          <w:spacing w:val="-2"/>
        </w:rPr>
        <w:t> </w:t>
      </w:r>
      <w:r>
        <w:rPr/>
        <w:t>opposante</w:t>
      </w:r>
      <w:r>
        <w:rPr>
          <w:spacing w:val="-4"/>
        </w:rPr>
        <w:t> </w:t>
      </w:r>
      <w:r>
        <w:rPr/>
        <w:t>soutient</w:t>
      </w:r>
      <w:r>
        <w:rPr>
          <w:spacing w:val="-3"/>
        </w:rPr>
        <w:t> </w:t>
      </w:r>
      <w:r>
        <w:rPr/>
        <w:t>que</w:t>
      </w:r>
      <w:r>
        <w:rPr>
          <w:spacing w:val="-2"/>
        </w:rPr>
        <w:t> </w:t>
      </w:r>
      <w:r>
        <w:rPr/>
        <w:t>les</w:t>
      </w:r>
      <w:r>
        <w:rPr>
          <w:spacing w:val="-3"/>
        </w:rPr>
        <w:t> </w:t>
      </w:r>
      <w:r>
        <w:rPr/>
        <w:t>signes</w:t>
      </w:r>
      <w:r>
        <w:rPr>
          <w:spacing w:val="-4"/>
        </w:rPr>
        <w:t> </w:t>
      </w:r>
      <w:r>
        <w:rPr/>
        <w:t>en</w:t>
      </w:r>
      <w:r>
        <w:rPr>
          <w:spacing w:val="-3"/>
        </w:rPr>
        <w:t> </w:t>
      </w:r>
      <w:r>
        <w:rPr/>
        <w:t>cause</w:t>
      </w:r>
      <w:r>
        <w:rPr>
          <w:spacing w:val="-4"/>
        </w:rPr>
        <w:t> </w:t>
      </w:r>
      <w:r>
        <w:rPr/>
        <w:t>sont</w:t>
      </w:r>
      <w:r>
        <w:rPr>
          <w:spacing w:val="-4"/>
        </w:rPr>
        <w:t> </w:t>
      </w:r>
      <w:r>
        <w:rPr>
          <w:spacing w:val="-2"/>
        </w:rPr>
        <w:t>similaires.</w:t>
      </w:r>
    </w:p>
    <w:p>
      <w:pPr>
        <w:pStyle w:val="BodyText"/>
        <w:spacing w:after="0"/>
        <w:jc w:val="both"/>
        <w:sectPr>
          <w:pgSz w:w="11910" w:h="16840"/>
          <w:pgMar w:header="0" w:footer="840" w:top="1900" w:bottom="1040" w:left="1417" w:right="1275"/>
        </w:sectPr>
      </w:pPr>
    </w:p>
    <w:p>
      <w:pPr>
        <w:pStyle w:val="BodyText"/>
        <w:spacing w:before="68"/>
        <w:ind w:left="3" w:right="152"/>
        <w:jc w:val="both"/>
      </w:pPr>
      <w:r>
        <w:rPr/>
        <w:t>L'appréciation globale doit, en</w:t>
      </w:r>
      <w:r>
        <w:rPr>
          <w:spacing w:val="-1"/>
        </w:rPr>
        <w:t> </w:t>
      </w:r>
      <w:r>
        <w:rPr/>
        <w:t>ce qui</w:t>
      </w:r>
      <w:r>
        <w:rPr>
          <w:spacing w:val="-2"/>
        </w:rPr>
        <w:t> </w:t>
      </w:r>
      <w:r>
        <w:rPr/>
        <w:t>concerne la similitude visuelle, auditive ou</w:t>
      </w:r>
      <w:r>
        <w:rPr>
          <w:spacing w:val="-1"/>
        </w:rPr>
        <w:t> </w:t>
      </w:r>
      <w:r>
        <w:rPr/>
        <w:t>conceptuelle des marques en cause, être fondée sur l'impression d'ensemble produite par les marques, en tenant compte notamment de leurs éléments distinctifs et dominants.</w:t>
      </w:r>
    </w:p>
    <w:p>
      <w:pPr>
        <w:pStyle w:val="BodyText"/>
      </w:pPr>
    </w:p>
    <w:p>
      <w:pPr>
        <w:pStyle w:val="BodyText"/>
        <w:ind w:left="3" w:right="149"/>
        <w:jc w:val="both"/>
      </w:pPr>
      <w:r>
        <w:rPr/>
        <w:t>Il convient également de tenir compte du fait que le consommateur moyen des produits ou services en cause n’a que rarement la possibilité de procéder à une comparaison directe des différentes marques, mais doit se fier à l’image imparfaite qu’il a gardée en mémoire.</w:t>
      </w:r>
    </w:p>
    <w:p>
      <w:pPr>
        <w:pStyle w:val="BodyText"/>
      </w:pPr>
    </w:p>
    <w:p>
      <w:pPr>
        <w:pStyle w:val="BodyText"/>
        <w:ind w:left="3" w:right="157"/>
        <w:jc w:val="both"/>
      </w:pPr>
      <w:r>
        <w:rPr/>
        <w:t>Il résulte d’une comparaison globale et objective que le signe</w:t>
      </w:r>
      <w:r>
        <w:rPr>
          <w:spacing w:val="-2"/>
        </w:rPr>
        <w:t> </w:t>
      </w:r>
      <w:r>
        <w:rPr/>
        <w:t>contesté et la marque antérieure sont constitués d’une dénomination unique.</w:t>
      </w:r>
    </w:p>
    <w:p>
      <w:pPr>
        <w:pStyle w:val="BodyText"/>
      </w:pPr>
    </w:p>
    <w:p>
      <w:pPr>
        <w:pStyle w:val="BodyText"/>
        <w:ind w:left="3" w:right="149"/>
        <w:jc w:val="both"/>
      </w:pPr>
      <w:r>
        <w:rPr/>
        <w:t>Les signes en présence ont visuellement, phonétiquement et intellectuellement en commun la séquence JOY-, seul élément verbal constitutif de la marque antérieure et positionnée en attaque du signe contesté, laquelle apparaît parfaitement distinctive à l’égard des produits en cause, leur conférant ainsi de grandes ressemblances d’ensemble.</w:t>
      </w:r>
    </w:p>
    <w:p>
      <w:pPr>
        <w:pStyle w:val="BodyText"/>
      </w:pPr>
    </w:p>
    <w:p>
      <w:pPr>
        <w:pStyle w:val="BodyText"/>
        <w:ind w:left="3" w:right="150"/>
        <w:jc w:val="both"/>
      </w:pPr>
      <w:r>
        <w:rPr/>
        <w:t>Ils diffèrent par la présence de la séquence finale -LIFE au sein du signe contesté en seconde position et qui n’altère pas le caractère immédiatement perceptible de la séquence d’attaque JOY, ce que ne conteste pas le déposant.</w:t>
      </w:r>
    </w:p>
    <w:p>
      <w:pPr>
        <w:pStyle w:val="BodyText"/>
      </w:pPr>
    </w:p>
    <w:p>
      <w:pPr>
        <w:pStyle w:val="BodyText"/>
      </w:pPr>
    </w:p>
    <w:p>
      <w:pPr>
        <w:pStyle w:val="BodyText"/>
        <w:ind w:left="3" w:right="151"/>
        <w:jc w:val="both"/>
      </w:pPr>
      <w:r>
        <w:rPr/>
        <w:t>Il résulte ainsi des ressemblances d’ensemble précitées entre les signes et de la prise en compte des éléments distinctifs et dominants, une similarité entre les signes.</w:t>
      </w:r>
    </w:p>
    <w:p>
      <w:pPr>
        <w:pStyle w:val="BodyText"/>
      </w:pPr>
    </w:p>
    <w:p>
      <w:pPr>
        <w:pStyle w:val="BodyText"/>
        <w:ind w:left="3" w:right="150"/>
        <w:jc w:val="both"/>
      </w:pPr>
      <w:r>
        <w:rPr/>
        <w:t>En conséquence, il ressort de l’impression d’ensemble produite entre les signes que le signe verbal contesté JOYLIFE apparaît similaire à la marque verbale antérieure JOY, ce que ne conteste pas le déposant.</w:t>
      </w:r>
    </w:p>
    <w:p>
      <w:pPr>
        <w:pStyle w:val="BodyText"/>
      </w:pPr>
    </w:p>
    <w:p>
      <w:pPr>
        <w:pStyle w:val="BodyText"/>
        <w:spacing w:before="20"/>
      </w:pPr>
    </w:p>
    <w:p>
      <w:pPr>
        <w:pStyle w:val="Heading1"/>
        <w:spacing w:before="1"/>
      </w:pPr>
      <w:r>
        <w:rPr/>
        <w:t>Sur</w:t>
      </w:r>
      <w:r>
        <w:rPr>
          <w:spacing w:val="11"/>
        </w:rPr>
        <w:t> </w:t>
      </w:r>
      <w:r>
        <w:rPr/>
        <w:t>l'appréciation</w:t>
      </w:r>
      <w:r>
        <w:rPr>
          <w:spacing w:val="11"/>
        </w:rPr>
        <w:t> </w:t>
      </w:r>
      <w:r>
        <w:rPr/>
        <w:t>globale</w:t>
      </w:r>
      <w:r>
        <w:rPr>
          <w:spacing w:val="9"/>
        </w:rPr>
        <w:t> </w:t>
      </w:r>
      <w:r>
        <w:rPr/>
        <w:t>du</w:t>
      </w:r>
      <w:r>
        <w:rPr>
          <w:spacing w:val="10"/>
        </w:rPr>
        <w:t> </w:t>
      </w:r>
      <w:r>
        <w:rPr/>
        <w:t>risque</w:t>
      </w:r>
      <w:r>
        <w:rPr>
          <w:spacing w:val="10"/>
        </w:rPr>
        <w:t> </w:t>
      </w:r>
      <w:r>
        <w:rPr/>
        <w:t>de</w:t>
      </w:r>
      <w:r>
        <w:rPr>
          <w:spacing w:val="10"/>
        </w:rPr>
        <w:t> </w:t>
      </w:r>
      <w:r>
        <w:rPr>
          <w:spacing w:val="-2"/>
        </w:rPr>
        <w:t>confusion</w:t>
      </w:r>
    </w:p>
    <w:p>
      <w:pPr>
        <w:pStyle w:val="BodyText"/>
        <w:spacing w:before="75"/>
        <w:rPr>
          <w:rFonts w:ascii="Cambria"/>
          <w:b/>
        </w:rPr>
      </w:pPr>
    </w:p>
    <w:p>
      <w:pPr>
        <w:pStyle w:val="BodyText"/>
        <w:ind w:left="3" w:right="155"/>
        <w:jc w:val="both"/>
      </w:pPr>
      <w:r>
        <w:rPr/>
        <w:t>L'appréciation globale du risque de confusion implique une certaine interdépendance des facteurs pris en compte et notamment la similitude des marques et celle des produits ou des services désignés. Ainsi, un faible degré de similitude entre les produits et services désignés peut être compensé par un degré élevé de similitude entre les marques, et inversement.</w:t>
      </w:r>
    </w:p>
    <w:p>
      <w:pPr>
        <w:pStyle w:val="BodyText"/>
      </w:pPr>
    </w:p>
    <w:p>
      <w:pPr>
        <w:pStyle w:val="BodyText"/>
        <w:ind w:left="3" w:right="157"/>
        <w:jc w:val="both"/>
      </w:pPr>
      <w:r>
        <w:rPr/>
        <w:t>En l’espèce, en raison de l’identité et de la similarité d’une partie des produits en cause et de la similarité entre les signes en présence, il existe globalement un risque de confusion dans l'esprit du public sur l’origine des produits précités.</w:t>
      </w:r>
    </w:p>
    <w:p>
      <w:pPr>
        <w:pStyle w:val="BodyText"/>
      </w:pPr>
    </w:p>
    <w:p>
      <w:pPr>
        <w:pStyle w:val="BodyText"/>
        <w:ind w:left="3" w:right="156"/>
        <w:jc w:val="both"/>
      </w:pPr>
      <w:r>
        <w:rPr/>
        <w:t>En revanche, il n’existe pas de risque de confusion pour les produits de la demande qui ne sont pas identiques ou similaires à ceux invoqués de la marque antérieure et ce malgré la similarité des signes.</w:t>
      </w:r>
    </w:p>
    <w:p>
      <w:pPr>
        <w:pStyle w:val="BodyText"/>
      </w:pPr>
    </w:p>
    <w:p>
      <w:pPr>
        <w:pStyle w:val="BodyText"/>
        <w:spacing w:before="74"/>
      </w:pPr>
    </w:p>
    <w:p>
      <w:pPr>
        <w:pStyle w:val="Heading1"/>
        <w:numPr>
          <w:ilvl w:val="0"/>
          <w:numId w:val="2"/>
        </w:numPr>
        <w:tabs>
          <w:tab w:pos="629" w:val="left" w:leader="none"/>
        </w:tabs>
        <w:spacing w:line="280" w:lineRule="auto" w:before="0" w:after="0"/>
        <w:ind w:left="287" w:right="144" w:firstLine="0"/>
        <w:jc w:val="left"/>
      </w:pPr>
      <w:r>
        <w:rPr/>
        <w:t>Sur</w:t>
      </w:r>
      <w:r>
        <w:rPr>
          <w:spacing w:val="69"/>
        </w:rPr>
        <w:t> </w:t>
      </w:r>
      <w:r>
        <w:rPr/>
        <w:t>l’atteinte</w:t>
      </w:r>
      <w:r>
        <w:rPr>
          <w:spacing w:val="69"/>
        </w:rPr>
        <w:t> </w:t>
      </w:r>
      <w:r>
        <w:rPr/>
        <w:t>à</w:t>
      </w:r>
      <w:r>
        <w:rPr>
          <w:spacing w:val="68"/>
        </w:rPr>
        <w:t> </w:t>
      </w:r>
      <w:r>
        <w:rPr/>
        <w:t>la</w:t>
      </w:r>
      <w:r>
        <w:rPr>
          <w:spacing w:val="71"/>
        </w:rPr>
        <w:t> </w:t>
      </w:r>
      <w:r>
        <w:rPr/>
        <w:t>renommée</w:t>
      </w:r>
      <w:r>
        <w:rPr>
          <w:spacing w:val="69"/>
        </w:rPr>
        <w:t> </w:t>
      </w:r>
      <w:r>
        <w:rPr/>
        <w:t>de</w:t>
      </w:r>
      <w:r>
        <w:rPr>
          <w:spacing w:val="69"/>
        </w:rPr>
        <w:t> </w:t>
      </w:r>
      <w:r>
        <w:rPr/>
        <w:t>la</w:t>
      </w:r>
      <w:r>
        <w:rPr>
          <w:spacing w:val="68"/>
        </w:rPr>
        <w:t> </w:t>
      </w:r>
      <w:r>
        <w:rPr/>
        <w:t>marque</w:t>
      </w:r>
      <w:r>
        <w:rPr>
          <w:spacing w:val="80"/>
        </w:rPr>
        <w:t> </w:t>
      </w:r>
      <w:r>
        <w:rPr/>
        <w:t>de</w:t>
      </w:r>
      <w:r>
        <w:rPr>
          <w:spacing w:val="69"/>
        </w:rPr>
        <w:t> </w:t>
      </w:r>
      <w:r>
        <w:rPr/>
        <w:t>l’Union</w:t>
      </w:r>
      <w:r>
        <w:rPr>
          <w:spacing w:val="69"/>
        </w:rPr>
        <w:t> </w:t>
      </w:r>
      <w:r>
        <w:rPr/>
        <w:t>européenne</w:t>
      </w:r>
      <w:r>
        <w:rPr>
          <w:spacing w:val="72"/>
        </w:rPr>
        <w:t> </w:t>
      </w:r>
      <w:r>
        <w:rPr/>
        <w:t>JOY n° 10596047</w:t>
      </w:r>
    </w:p>
    <w:p>
      <w:pPr>
        <w:pStyle w:val="Heading1"/>
        <w:spacing w:after="0" w:line="280" w:lineRule="auto"/>
        <w:jc w:val="left"/>
        <w:sectPr>
          <w:pgSz w:w="11910" w:h="16840"/>
          <w:pgMar w:header="0" w:footer="840" w:top="1900" w:bottom="1040" w:left="1417" w:right="1275"/>
        </w:sectPr>
      </w:pPr>
    </w:p>
    <w:p>
      <w:pPr>
        <w:pStyle w:val="BodyText"/>
        <w:spacing w:before="42"/>
        <w:rPr>
          <w:rFonts w:ascii="Cambria"/>
          <w:b/>
        </w:rPr>
      </w:pPr>
    </w:p>
    <w:p>
      <w:pPr>
        <w:pStyle w:val="BodyText"/>
        <w:ind w:left="3" w:right="40"/>
        <w:jc w:val="both"/>
      </w:pPr>
      <w:r>
        <w:rPr/>
        <w:t>Le</w:t>
      </w:r>
      <w:r>
        <w:rPr>
          <w:spacing w:val="-1"/>
        </w:rPr>
        <w:t> </w:t>
      </w:r>
      <w:r>
        <w:rPr/>
        <w:t>titulaire d’une</w:t>
      </w:r>
      <w:r>
        <w:rPr>
          <w:spacing w:val="-1"/>
        </w:rPr>
        <w:t> </w:t>
      </w:r>
      <w:r>
        <w:rPr/>
        <w:t>marque</w:t>
      </w:r>
      <w:r>
        <w:rPr>
          <w:spacing w:val="-1"/>
        </w:rPr>
        <w:t> </w:t>
      </w:r>
      <w:r>
        <w:rPr/>
        <w:t>jouissant</w:t>
      </w:r>
      <w:r>
        <w:rPr>
          <w:spacing w:val="-1"/>
        </w:rPr>
        <w:t> </w:t>
      </w:r>
      <w:r>
        <w:rPr/>
        <w:t>d’une</w:t>
      </w:r>
      <w:r>
        <w:rPr>
          <w:spacing w:val="-1"/>
        </w:rPr>
        <w:t> </w:t>
      </w:r>
      <w:r>
        <w:rPr/>
        <w:t>renommée en France ou,</w:t>
      </w:r>
      <w:r>
        <w:rPr>
          <w:spacing w:val="-2"/>
        </w:rPr>
        <w:t> </w:t>
      </w:r>
      <w:r>
        <w:rPr/>
        <w:t>dans le</w:t>
      </w:r>
      <w:r>
        <w:rPr>
          <w:spacing w:val="-1"/>
        </w:rPr>
        <w:t> </w:t>
      </w:r>
      <w:r>
        <w:rPr/>
        <w:t>cas</w:t>
      </w:r>
      <w:r>
        <w:rPr>
          <w:spacing w:val="-1"/>
        </w:rPr>
        <w:t> </w:t>
      </w:r>
      <w:r>
        <w:rPr/>
        <w:t>d'une</w:t>
      </w:r>
      <w:r>
        <w:rPr>
          <w:spacing w:val="-1"/>
        </w:rPr>
        <w:t> </w:t>
      </w:r>
      <w:r>
        <w:rPr/>
        <w:t>marque</w:t>
      </w:r>
      <w:r>
        <w:rPr>
          <w:spacing w:val="-1"/>
        </w:rPr>
        <w:t> </w:t>
      </w:r>
      <w:r>
        <w:rPr/>
        <w:t>de l'Union européenne, d'une renommée dans l'Union, peut s’opposer à l’enregistrement d’une marque lorsque la marque postérieure est identique ou similaire à la marque antérieure, indépendamment du fait que les produits ou les services soient identiques, similaires ou non similaires, et lorsque l’usage de cette marque postérieure sans juste motif tirerait indûment profit du caractère distinctif ou de la renommée de la marque antérieure, ou leur porterait </w:t>
      </w:r>
      <w:r>
        <w:rPr>
          <w:spacing w:val="-2"/>
        </w:rPr>
        <w:t>préjudice.</w:t>
      </w:r>
    </w:p>
    <w:p>
      <w:pPr>
        <w:pStyle w:val="BodyText"/>
      </w:pPr>
    </w:p>
    <w:p>
      <w:pPr>
        <w:pStyle w:val="BodyText"/>
        <w:spacing w:before="1"/>
        <w:ind w:left="3" w:right="40"/>
        <w:jc w:val="both"/>
      </w:pPr>
      <w:r>
        <w:rPr/>
        <w:t>Cette protection élargie accordée à la marque de renommée suppose la réunion des conditions suivantes : premièrement, l’existence d’une renommée de la marque antérieure invoquée, deuxièmement, l’identité ou la similitude des marques en conflit et troisièmement, l’existence d’un risque que l’usage sans juste motif de la marque demandée tirerait indûment profit du caractère distinctif ou de la renommée de la marque antérieure ou leur porterait préjudice ; ces trois conditions sont cumulatives, l’absence de l’une d’entre elles suffisant à rendre inapplicable ce régime de protection.</w:t>
      </w:r>
    </w:p>
    <w:p>
      <w:pPr>
        <w:pStyle w:val="BodyText"/>
      </w:pPr>
    </w:p>
    <w:p>
      <w:pPr>
        <w:pStyle w:val="BodyText"/>
      </w:pPr>
    </w:p>
    <w:p>
      <w:pPr>
        <w:pStyle w:val="BodyText"/>
        <w:spacing w:before="20"/>
      </w:pPr>
    </w:p>
    <w:p>
      <w:pPr>
        <w:pStyle w:val="Heading1"/>
        <w:ind w:left="997"/>
      </w:pPr>
      <w:r>
        <w:rPr/>
        <w:t>Sur</w:t>
      </w:r>
      <w:r>
        <w:rPr>
          <w:spacing w:val="2"/>
        </w:rPr>
        <w:t> </w:t>
      </w:r>
      <w:r>
        <w:rPr/>
        <w:t>la</w:t>
      </w:r>
      <w:r>
        <w:rPr>
          <w:spacing w:val="4"/>
        </w:rPr>
        <w:t> </w:t>
      </w:r>
      <w:r>
        <w:rPr/>
        <w:t>renommée</w:t>
      </w:r>
      <w:r>
        <w:rPr>
          <w:spacing w:val="3"/>
        </w:rPr>
        <w:t> </w:t>
      </w:r>
      <w:r>
        <w:rPr/>
        <w:t>de</w:t>
      </w:r>
      <w:r>
        <w:rPr>
          <w:spacing w:val="1"/>
        </w:rPr>
        <w:t> </w:t>
      </w:r>
      <w:r>
        <w:rPr/>
        <w:t>la</w:t>
      </w:r>
      <w:r>
        <w:rPr>
          <w:spacing w:val="4"/>
        </w:rPr>
        <w:t> </w:t>
      </w:r>
      <w:r>
        <w:rPr/>
        <w:t>marque</w:t>
      </w:r>
      <w:r>
        <w:rPr>
          <w:spacing w:val="3"/>
        </w:rPr>
        <w:t> </w:t>
      </w:r>
      <w:r>
        <w:rPr>
          <w:spacing w:val="-2"/>
        </w:rPr>
        <w:t>antérieure</w:t>
      </w:r>
    </w:p>
    <w:p>
      <w:pPr>
        <w:pStyle w:val="BodyText"/>
        <w:spacing w:before="75"/>
        <w:rPr>
          <w:rFonts w:ascii="Cambria"/>
          <w:b/>
        </w:rPr>
      </w:pPr>
    </w:p>
    <w:p>
      <w:pPr>
        <w:pStyle w:val="BodyText"/>
        <w:ind w:left="3" w:right="148"/>
        <w:jc w:val="both"/>
      </w:pPr>
      <w:r>
        <w:rPr/>
        <w:t>La renommée implique un seuil de connaissance qui n'est atteint que lorsque la marque antérieure est</w:t>
      </w:r>
      <w:r>
        <w:rPr>
          <w:spacing w:val="-2"/>
        </w:rPr>
        <w:t> </w:t>
      </w:r>
      <w:r>
        <w:rPr/>
        <w:t>connue d'une partie significative du</w:t>
      </w:r>
      <w:r>
        <w:rPr>
          <w:spacing w:val="-1"/>
        </w:rPr>
        <w:t> </w:t>
      </w:r>
      <w:r>
        <w:rPr/>
        <w:t>public concerné par</w:t>
      </w:r>
      <w:r>
        <w:rPr>
          <w:spacing w:val="-1"/>
        </w:rPr>
        <w:t> </w:t>
      </w:r>
      <w:r>
        <w:rPr/>
        <w:t>les produits ou</w:t>
      </w:r>
      <w:r>
        <w:rPr>
          <w:spacing w:val="-1"/>
        </w:rPr>
        <w:t> </w:t>
      </w:r>
      <w:r>
        <w:rPr/>
        <w:t>services qu'elle désigne. Le public au sein duquel la marque antérieure doit avoir acquis une</w:t>
      </w:r>
      <w:r>
        <w:rPr>
          <w:spacing w:val="40"/>
        </w:rPr>
        <w:t> </w:t>
      </w:r>
      <w:r>
        <w:rPr/>
        <w:t>renommée est celui concerné par cette marque, c'est-à-dire selon le produit ou service commercialisé, le grand public ou un public plus spécialisé.</w:t>
      </w:r>
    </w:p>
    <w:p>
      <w:pPr>
        <w:pStyle w:val="BodyText"/>
      </w:pPr>
    </w:p>
    <w:p>
      <w:pPr>
        <w:pStyle w:val="BodyText"/>
        <w:ind w:left="3" w:right="147"/>
        <w:jc w:val="both"/>
      </w:pPr>
      <w:r>
        <w:rPr/>
        <w:t>Afin de déterminer le niveau de renommée de la marque, il convient de prendre en considération tous les éléments pertinents de la cause, à savoir, notamment, la part de marché détenue par la marque, l’intensité, l’étendue géographique et la durée de son usage, ainsi que l’importance des investissements réalisés par l’entreprise pour la promouvoir.</w:t>
      </w:r>
    </w:p>
    <w:p>
      <w:pPr>
        <w:pStyle w:val="BodyText"/>
      </w:pPr>
    </w:p>
    <w:p>
      <w:pPr>
        <w:pStyle w:val="BodyText"/>
        <w:ind w:left="3" w:right="215"/>
      </w:pPr>
      <w:r>
        <w:rPr/>
        <w:t>En l’espèce la société opposante invoque la renommée de la marque de l’Union européenne n° 10596047 portant sur la dénomination JOY.</w:t>
      </w:r>
    </w:p>
    <w:p>
      <w:pPr>
        <w:pStyle w:val="BodyText"/>
      </w:pPr>
    </w:p>
    <w:p>
      <w:pPr>
        <w:spacing w:before="1"/>
        <w:ind w:left="3" w:right="0" w:firstLine="0"/>
        <w:jc w:val="left"/>
        <w:rPr>
          <w:sz w:val="24"/>
        </w:rPr>
      </w:pPr>
      <w:r>
        <w:rPr>
          <w:sz w:val="24"/>
        </w:rPr>
        <w:t>La</w:t>
      </w:r>
      <w:r>
        <w:rPr>
          <w:spacing w:val="40"/>
          <w:sz w:val="24"/>
        </w:rPr>
        <w:t> </w:t>
      </w:r>
      <w:r>
        <w:rPr>
          <w:sz w:val="24"/>
        </w:rPr>
        <w:t>renommée</w:t>
      </w:r>
      <w:r>
        <w:rPr>
          <w:spacing w:val="40"/>
          <w:sz w:val="24"/>
        </w:rPr>
        <w:t> </w:t>
      </w:r>
      <w:r>
        <w:rPr>
          <w:sz w:val="24"/>
        </w:rPr>
        <w:t>est</w:t>
      </w:r>
      <w:r>
        <w:rPr>
          <w:spacing w:val="40"/>
          <w:sz w:val="24"/>
        </w:rPr>
        <w:t> </w:t>
      </w:r>
      <w:r>
        <w:rPr>
          <w:sz w:val="24"/>
        </w:rPr>
        <w:t>invoquée</w:t>
      </w:r>
      <w:r>
        <w:rPr>
          <w:spacing w:val="40"/>
          <w:sz w:val="24"/>
        </w:rPr>
        <w:t> </w:t>
      </w:r>
      <w:r>
        <w:rPr>
          <w:sz w:val="24"/>
        </w:rPr>
        <w:t>au</w:t>
      </w:r>
      <w:r>
        <w:rPr>
          <w:spacing w:val="40"/>
          <w:sz w:val="24"/>
        </w:rPr>
        <w:t> </w:t>
      </w:r>
      <w:r>
        <w:rPr>
          <w:sz w:val="24"/>
        </w:rPr>
        <w:t>regard</w:t>
      </w:r>
      <w:r>
        <w:rPr>
          <w:spacing w:val="40"/>
          <w:sz w:val="24"/>
        </w:rPr>
        <w:t> </w:t>
      </w:r>
      <w:r>
        <w:rPr>
          <w:sz w:val="24"/>
        </w:rPr>
        <w:t>des</w:t>
      </w:r>
      <w:r>
        <w:rPr>
          <w:spacing w:val="40"/>
          <w:sz w:val="24"/>
        </w:rPr>
        <w:t> </w:t>
      </w:r>
      <w:r>
        <w:rPr>
          <w:sz w:val="24"/>
        </w:rPr>
        <w:t>produits</w:t>
      </w:r>
      <w:r>
        <w:rPr>
          <w:spacing w:val="40"/>
          <w:sz w:val="24"/>
        </w:rPr>
        <w:t> </w:t>
      </w:r>
      <w:r>
        <w:rPr>
          <w:sz w:val="24"/>
        </w:rPr>
        <w:t>suivants</w:t>
      </w:r>
      <w:r>
        <w:rPr>
          <w:spacing w:val="40"/>
          <w:sz w:val="24"/>
        </w:rPr>
        <w:t> </w:t>
      </w:r>
      <w:r>
        <w:rPr>
          <w:sz w:val="24"/>
        </w:rPr>
        <w:t>:</w:t>
      </w:r>
      <w:r>
        <w:rPr>
          <w:spacing w:val="40"/>
          <w:sz w:val="24"/>
        </w:rPr>
        <w:t> </w:t>
      </w:r>
      <w:r>
        <w:rPr>
          <w:sz w:val="24"/>
        </w:rPr>
        <w:t>« </w:t>
      </w:r>
      <w:r>
        <w:rPr>
          <w:i/>
          <w:sz w:val="24"/>
        </w:rPr>
        <w:t>Produits</w:t>
      </w:r>
      <w:r>
        <w:rPr>
          <w:i/>
          <w:spacing w:val="40"/>
          <w:sz w:val="24"/>
        </w:rPr>
        <w:t> </w:t>
      </w:r>
      <w:r>
        <w:rPr>
          <w:i/>
          <w:sz w:val="24"/>
        </w:rPr>
        <w:t>de</w:t>
      </w:r>
      <w:r>
        <w:rPr>
          <w:i/>
          <w:spacing w:val="40"/>
          <w:sz w:val="24"/>
        </w:rPr>
        <w:t> </w:t>
      </w:r>
      <w:r>
        <w:rPr>
          <w:i/>
          <w:sz w:val="24"/>
        </w:rPr>
        <w:t>parfumerie,</w:t>
      </w:r>
      <w:r>
        <w:rPr>
          <w:i/>
          <w:spacing w:val="40"/>
          <w:sz w:val="24"/>
        </w:rPr>
        <w:t> </w:t>
      </w:r>
      <w:r>
        <w:rPr>
          <w:i/>
          <w:sz w:val="24"/>
        </w:rPr>
        <w:t>parfums, eaux de toilette </w:t>
      </w:r>
      <w:r>
        <w:rPr>
          <w:sz w:val="24"/>
        </w:rPr>
        <w:t>».</w:t>
      </w:r>
    </w:p>
    <w:p>
      <w:pPr>
        <w:pStyle w:val="BodyText"/>
        <w:spacing w:before="276"/>
        <w:ind w:left="3"/>
      </w:pPr>
      <w:r>
        <w:rPr/>
        <w:t>Afin</w:t>
      </w:r>
      <w:r>
        <w:rPr>
          <w:spacing w:val="27"/>
        </w:rPr>
        <w:t> </w:t>
      </w:r>
      <w:r>
        <w:rPr/>
        <w:t>de</w:t>
      </w:r>
      <w:r>
        <w:rPr>
          <w:spacing w:val="29"/>
        </w:rPr>
        <w:t> </w:t>
      </w:r>
      <w:r>
        <w:rPr/>
        <w:t>démontrer</w:t>
      </w:r>
      <w:r>
        <w:rPr>
          <w:spacing w:val="29"/>
        </w:rPr>
        <w:t> </w:t>
      </w:r>
      <w:r>
        <w:rPr/>
        <w:t>la</w:t>
      </w:r>
      <w:r>
        <w:rPr>
          <w:spacing w:val="27"/>
        </w:rPr>
        <w:t> </w:t>
      </w:r>
      <w:r>
        <w:rPr/>
        <w:t>renommée</w:t>
      </w:r>
      <w:r>
        <w:rPr>
          <w:spacing w:val="31"/>
        </w:rPr>
        <w:t> </w:t>
      </w:r>
      <w:r>
        <w:rPr/>
        <w:t>de</w:t>
      </w:r>
      <w:r>
        <w:rPr>
          <w:spacing w:val="27"/>
        </w:rPr>
        <w:t> </w:t>
      </w:r>
      <w:r>
        <w:rPr/>
        <w:t>sa</w:t>
      </w:r>
      <w:r>
        <w:rPr>
          <w:spacing w:val="27"/>
        </w:rPr>
        <w:t> </w:t>
      </w:r>
      <w:r>
        <w:rPr/>
        <w:t>marque</w:t>
      </w:r>
      <w:r>
        <w:rPr>
          <w:spacing w:val="29"/>
        </w:rPr>
        <w:t> </w:t>
      </w:r>
      <w:r>
        <w:rPr/>
        <w:t>antérieure,</w:t>
      </w:r>
      <w:r>
        <w:rPr>
          <w:spacing w:val="29"/>
        </w:rPr>
        <w:t> </w:t>
      </w:r>
      <w:r>
        <w:rPr/>
        <w:t>la</w:t>
      </w:r>
      <w:r>
        <w:rPr>
          <w:spacing w:val="29"/>
        </w:rPr>
        <w:t> </w:t>
      </w:r>
      <w:r>
        <w:rPr/>
        <w:t>société</w:t>
      </w:r>
      <w:r>
        <w:rPr>
          <w:spacing w:val="29"/>
        </w:rPr>
        <w:t> </w:t>
      </w:r>
      <w:r>
        <w:rPr/>
        <w:t>opposante</w:t>
      </w:r>
      <w:r>
        <w:rPr>
          <w:spacing w:val="29"/>
        </w:rPr>
        <w:t> </w:t>
      </w:r>
      <w:r>
        <w:rPr/>
        <w:t>précise</w:t>
      </w:r>
      <w:r>
        <w:rPr>
          <w:spacing w:val="27"/>
        </w:rPr>
        <w:t> </w:t>
      </w:r>
      <w:r>
        <w:rPr/>
        <w:t>tout d’abord</w:t>
      </w:r>
      <w:r>
        <w:rPr>
          <w:spacing w:val="80"/>
        </w:rPr>
        <w:t> </w:t>
      </w:r>
      <w:r>
        <w:rPr/>
        <w:t>que,</w:t>
      </w:r>
      <w:r>
        <w:rPr>
          <w:spacing w:val="80"/>
        </w:rPr>
        <w:t> </w:t>
      </w:r>
      <w:r>
        <w:rPr/>
        <w:t>lancée</w:t>
      </w:r>
      <w:r>
        <w:rPr>
          <w:spacing w:val="80"/>
        </w:rPr>
        <w:t> </w:t>
      </w:r>
      <w:r>
        <w:rPr/>
        <w:t>au</w:t>
      </w:r>
      <w:r>
        <w:rPr>
          <w:spacing w:val="80"/>
        </w:rPr>
        <w:t> </w:t>
      </w:r>
      <w:r>
        <w:rPr/>
        <w:t>début</w:t>
      </w:r>
      <w:r>
        <w:rPr>
          <w:spacing w:val="80"/>
        </w:rPr>
        <w:t> </w:t>
      </w:r>
      <w:r>
        <w:rPr/>
        <w:t>des</w:t>
      </w:r>
      <w:r>
        <w:rPr>
          <w:spacing w:val="80"/>
        </w:rPr>
        <w:t> </w:t>
      </w:r>
      <w:r>
        <w:rPr/>
        <w:t>années</w:t>
      </w:r>
      <w:r>
        <w:rPr>
          <w:spacing w:val="80"/>
        </w:rPr>
        <w:t> </w:t>
      </w:r>
      <w:r>
        <w:rPr/>
        <w:t>1930,</w:t>
      </w:r>
      <w:r>
        <w:rPr>
          <w:spacing w:val="80"/>
        </w:rPr>
        <w:t> </w:t>
      </w:r>
      <w:r>
        <w:rPr/>
        <w:t>la</w:t>
      </w:r>
      <w:r>
        <w:rPr>
          <w:spacing w:val="80"/>
        </w:rPr>
        <w:t> </w:t>
      </w:r>
      <w:r>
        <w:rPr/>
        <w:t>marque</w:t>
      </w:r>
      <w:r>
        <w:rPr>
          <w:spacing w:val="80"/>
        </w:rPr>
        <w:t> </w:t>
      </w:r>
      <w:r>
        <w:rPr/>
        <w:t>JOY</w:t>
      </w:r>
      <w:r>
        <w:rPr>
          <w:spacing w:val="80"/>
        </w:rPr>
        <w:t> </w:t>
      </w:r>
      <w:r>
        <w:rPr/>
        <w:t>désigne</w:t>
      </w:r>
      <w:r>
        <w:rPr>
          <w:spacing w:val="80"/>
        </w:rPr>
        <w:t> </w:t>
      </w:r>
      <w:r>
        <w:rPr/>
        <w:t>un</w:t>
      </w:r>
      <w:r>
        <w:rPr>
          <w:spacing w:val="80"/>
        </w:rPr>
        <w:t> </w:t>
      </w:r>
      <w:r>
        <w:rPr/>
        <w:t>parfum</w:t>
      </w:r>
    </w:p>
    <w:p>
      <w:pPr>
        <w:spacing w:before="0"/>
        <w:ind w:left="3" w:right="0" w:firstLine="0"/>
        <w:jc w:val="left"/>
        <w:rPr>
          <w:sz w:val="24"/>
        </w:rPr>
      </w:pPr>
      <w:r>
        <w:rPr>
          <w:sz w:val="24"/>
        </w:rPr>
        <w:t>«</w:t>
      </w:r>
      <w:r>
        <w:rPr>
          <w:spacing w:val="38"/>
          <w:sz w:val="24"/>
        </w:rPr>
        <w:t> </w:t>
      </w:r>
      <w:r>
        <w:rPr>
          <w:i/>
          <w:sz w:val="24"/>
        </w:rPr>
        <w:t>commercialisé</w:t>
      </w:r>
      <w:r>
        <w:rPr>
          <w:i/>
          <w:spacing w:val="39"/>
          <w:sz w:val="24"/>
        </w:rPr>
        <w:t> </w:t>
      </w:r>
      <w:r>
        <w:rPr>
          <w:i/>
          <w:sz w:val="24"/>
        </w:rPr>
        <w:t>depuis</w:t>
      </w:r>
      <w:r>
        <w:rPr>
          <w:i/>
          <w:spacing w:val="37"/>
          <w:sz w:val="24"/>
        </w:rPr>
        <w:t> </w:t>
      </w:r>
      <w:r>
        <w:rPr>
          <w:i/>
          <w:sz w:val="24"/>
        </w:rPr>
        <w:t>plus</w:t>
      </w:r>
      <w:r>
        <w:rPr>
          <w:i/>
          <w:spacing w:val="37"/>
          <w:sz w:val="24"/>
        </w:rPr>
        <w:t> </w:t>
      </w:r>
      <w:r>
        <w:rPr>
          <w:i/>
          <w:sz w:val="24"/>
        </w:rPr>
        <w:t>de</w:t>
      </w:r>
      <w:r>
        <w:rPr>
          <w:i/>
          <w:spacing w:val="36"/>
          <w:sz w:val="24"/>
        </w:rPr>
        <w:t> </w:t>
      </w:r>
      <w:r>
        <w:rPr>
          <w:i/>
          <w:sz w:val="24"/>
        </w:rPr>
        <w:t>quatre-vingt</w:t>
      </w:r>
      <w:r>
        <w:rPr>
          <w:i/>
          <w:spacing w:val="39"/>
          <w:sz w:val="24"/>
        </w:rPr>
        <w:t> </w:t>
      </w:r>
      <w:r>
        <w:rPr>
          <w:i/>
          <w:sz w:val="24"/>
        </w:rPr>
        <w:t>ans</w:t>
      </w:r>
      <w:r>
        <w:rPr>
          <w:i/>
          <w:spacing w:val="37"/>
          <w:sz w:val="24"/>
        </w:rPr>
        <w:t> </w:t>
      </w:r>
      <w:r>
        <w:rPr>
          <w:i/>
          <w:sz w:val="24"/>
        </w:rPr>
        <w:t>en</w:t>
      </w:r>
      <w:r>
        <w:rPr>
          <w:i/>
          <w:spacing w:val="39"/>
          <w:sz w:val="24"/>
        </w:rPr>
        <w:t> </w:t>
      </w:r>
      <w:r>
        <w:rPr>
          <w:i/>
          <w:sz w:val="24"/>
        </w:rPr>
        <w:t>France</w:t>
      </w:r>
      <w:r>
        <w:rPr>
          <w:i/>
          <w:spacing w:val="40"/>
          <w:sz w:val="24"/>
        </w:rPr>
        <w:t> </w:t>
      </w:r>
      <w:r>
        <w:rPr>
          <w:sz w:val="24"/>
        </w:rPr>
        <w:t>»,</w:t>
      </w:r>
      <w:r>
        <w:rPr>
          <w:spacing w:val="37"/>
          <w:sz w:val="24"/>
        </w:rPr>
        <w:t> </w:t>
      </w:r>
      <w:r>
        <w:rPr>
          <w:sz w:val="24"/>
        </w:rPr>
        <w:t>et</w:t>
      </w:r>
      <w:r>
        <w:rPr>
          <w:spacing w:val="39"/>
          <w:sz w:val="24"/>
        </w:rPr>
        <w:t> </w:t>
      </w:r>
      <w:r>
        <w:rPr>
          <w:sz w:val="24"/>
        </w:rPr>
        <w:t>fournit</w:t>
      </w:r>
      <w:r>
        <w:rPr>
          <w:spacing w:val="39"/>
          <w:sz w:val="24"/>
        </w:rPr>
        <w:t> </w:t>
      </w:r>
      <w:r>
        <w:rPr>
          <w:sz w:val="24"/>
        </w:rPr>
        <w:t>plusieurs</w:t>
      </w:r>
      <w:r>
        <w:rPr>
          <w:spacing w:val="38"/>
          <w:sz w:val="24"/>
        </w:rPr>
        <w:t> </w:t>
      </w:r>
      <w:r>
        <w:rPr>
          <w:sz w:val="24"/>
        </w:rPr>
        <w:t>pièces, notamment :</w:t>
      </w:r>
    </w:p>
    <w:p>
      <w:pPr>
        <w:pStyle w:val="BodyText"/>
        <w:spacing w:before="19"/>
      </w:pPr>
    </w:p>
    <w:p>
      <w:pPr>
        <w:pStyle w:val="ListParagraph"/>
        <w:numPr>
          <w:ilvl w:val="0"/>
          <w:numId w:val="3"/>
        </w:numPr>
        <w:tabs>
          <w:tab w:pos="723" w:val="left" w:leader="none"/>
          <w:tab w:pos="788" w:val="left" w:leader="none"/>
        </w:tabs>
        <w:spacing w:line="247" w:lineRule="auto" w:before="1" w:after="0"/>
        <w:ind w:left="723" w:right="144" w:hanging="360"/>
        <w:jc w:val="both"/>
        <w:rPr>
          <w:i/>
          <w:sz w:val="24"/>
        </w:rPr>
      </w:pPr>
      <w:r>
        <w:rPr>
          <w:rFonts w:ascii="Cambria" w:hAnsi="Cambria"/>
          <w:sz w:val="24"/>
        </w:rPr>
        <w:tab/>
      </w:r>
      <w:r>
        <w:rPr>
          <w:rFonts w:ascii="Cambria" w:hAnsi="Cambria"/>
          <w:b/>
          <w:sz w:val="24"/>
        </w:rPr>
        <w:t>Annexes n° 1, 3 et 4</w:t>
      </w:r>
      <w:r>
        <w:rPr>
          <w:rFonts w:ascii="Cambria" w:hAnsi="Cambria"/>
          <w:b/>
          <w:spacing w:val="26"/>
          <w:sz w:val="24"/>
        </w:rPr>
        <w:t> </w:t>
      </w:r>
      <w:r>
        <w:rPr>
          <w:sz w:val="24"/>
        </w:rPr>
        <w:t>: articles parus dans la presse féminine grand public, tels que les magazines Marie-Claire, Gala, Madame Figaro, Elle, Version Femina, en particulier en France mais également en</w:t>
      </w:r>
      <w:r>
        <w:rPr>
          <w:spacing w:val="-1"/>
          <w:sz w:val="24"/>
        </w:rPr>
        <w:t> </w:t>
      </w:r>
      <w:r>
        <w:rPr>
          <w:sz w:val="24"/>
        </w:rPr>
        <w:t>Allemagne, en Italie ou</w:t>
      </w:r>
      <w:r>
        <w:rPr>
          <w:spacing w:val="-1"/>
          <w:sz w:val="24"/>
        </w:rPr>
        <w:t> </w:t>
      </w:r>
      <w:r>
        <w:rPr>
          <w:sz w:val="24"/>
        </w:rPr>
        <w:t>au</w:t>
      </w:r>
      <w:r>
        <w:rPr>
          <w:spacing w:val="-1"/>
          <w:sz w:val="24"/>
        </w:rPr>
        <w:t> </w:t>
      </w:r>
      <w:r>
        <w:rPr>
          <w:sz w:val="24"/>
        </w:rPr>
        <w:t>Portugal, faisant la promotion du</w:t>
      </w:r>
      <w:r>
        <w:rPr>
          <w:spacing w:val="-2"/>
          <w:sz w:val="24"/>
        </w:rPr>
        <w:t> </w:t>
      </w:r>
      <w:r>
        <w:rPr>
          <w:sz w:val="24"/>
        </w:rPr>
        <w:t>parfum</w:t>
      </w:r>
      <w:r>
        <w:rPr>
          <w:spacing w:val="-1"/>
          <w:sz w:val="24"/>
        </w:rPr>
        <w:t> </w:t>
      </w:r>
      <w:r>
        <w:rPr>
          <w:sz w:val="24"/>
        </w:rPr>
        <w:t>JOY et, desquels il</w:t>
      </w:r>
      <w:r>
        <w:rPr>
          <w:spacing w:val="-1"/>
          <w:sz w:val="24"/>
        </w:rPr>
        <w:t> </w:t>
      </w:r>
      <w:r>
        <w:rPr>
          <w:sz w:val="24"/>
        </w:rPr>
        <w:t>ressort</w:t>
      </w:r>
      <w:r>
        <w:rPr>
          <w:spacing w:val="-1"/>
          <w:sz w:val="24"/>
        </w:rPr>
        <w:t> </w:t>
      </w:r>
      <w:r>
        <w:rPr>
          <w:sz w:val="24"/>
        </w:rPr>
        <w:t>notamment qu’« </w:t>
      </w:r>
      <w:r>
        <w:rPr>
          <w:i/>
          <w:sz w:val="24"/>
        </w:rPr>
        <w:t>Il</w:t>
      </w:r>
      <w:r>
        <w:rPr>
          <w:i/>
          <w:spacing w:val="-1"/>
          <w:sz w:val="24"/>
        </w:rPr>
        <w:t> </w:t>
      </w:r>
      <w:r>
        <w:rPr>
          <w:i/>
          <w:sz w:val="24"/>
        </w:rPr>
        <w:t>est</w:t>
      </w:r>
      <w:r>
        <w:rPr>
          <w:i/>
          <w:spacing w:val="-2"/>
          <w:sz w:val="24"/>
        </w:rPr>
        <w:t> </w:t>
      </w:r>
      <w:r>
        <w:rPr>
          <w:i/>
          <w:sz w:val="24"/>
        </w:rPr>
        <w:t>de</w:t>
      </w:r>
      <w:r>
        <w:rPr>
          <w:i/>
          <w:spacing w:val="-1"/>
          <w:sz w:val="24"/>
        </w:rPr>
        <w:t> </w:t>
      </w:r>
      <w:r>
        <w:rPr>
          <w:i/>
          <w:sz w:val="24"/>
        </w:rPr>
        <w:t>ces parfums</w:t>
      </w:r>
    </w:p>
    <w:p>
      <w:pPr>
        <w:pStyle w:val="ListParagraph"/>
        <w:spacing w:after="0" w:line="247" w:lineRule="auto"/>
        <w:jc w:val="both"/>
        <w:rPr>
          <w:i/>
          <w:sz w:val="24"/>
        </w:rPr>
        <w:sectPr>
          <w:pgSz w:w="11910" w:h="16840"/>
          <w:pgMar w:header="0" w:footer="840" w:top="1920" w:bottom="1040" w:left="1417" w:right="1275"/>
        </w:sectPr>
      </w:pPr>
    </w:p>
    <w:p>
      <w:pPr>
        <w:spacing w:before="68"/>
        <w:ind w:left="723" w:right="0" w:firstLine="0"/>
        <w:jc w:val="left"/>
        <w:rPr>
          <w:sz w:val="24"/>
        </w:rPr>
      </w:pPr>
      <w:r>
        <w:rPr>
          <w:i/>
          <w:sz w:val="24"/>
        </w:rPr>
        <w:t>qui marquent une époque, voire des générations entières </w:t>
      </w:r>
      <w:r>
        <w:rPr>
          <w:sz w:val="24"/>
        </w:rPr>
        <w:t>», « </w:t>
      </w:r>
      <w:r>
        <w:rPr>
          <w:i/>
          <w:sz w:val="24"/>
        </w:rPr>
        <w:t>Joy, le “parfum le plus cher du monde”, symbole du luxe ultime </w:t>
      </w:r>
      <w:r>
        <w:rPr>
          <w:sz w:val="24"/>
        </w:rPr>
        <w:t>» ;</w:t>
      </w:r>
    </w:p>
    <w:p>
      <w:pPr>
        <w:pStyle w:val="BodyText"/>
        <w:spacing w:before="20"/>
      </w:pPr>
    </w:p>
    <w:p>
      <w:pPr>
        <w:pStyle w:val="ListParagraph"/>
        <w:numPr>
          <w:ilvl w:val="0"/>
          <w:numId w:val="3"/>
        </w:numPr>
        <w:tabs>
          <w:tab w:pos="712" w:val="left" w:leader="none"/>
        </w:tabs>
        <w:spacing w:line="240" w:lineRule="auto" w:before="0" w:after="0"/>
        <w:ind w:left="712" w:right="0" w:hanging="349"/>
        <w:jc w:val="left"/>
        <w:rPr>
          <w:sz w:val="24"/>
        </w:rPr>
      </w:pPr>
      <w:r>
        <w:rPr>
          <w:rFonts w:ascii="Cambria" w:hAnsi="Cambria"/>
          <w:b/>
          <w:sz w:val="24"/>
        </w:rPr>
        <w:t>Annexe</w:t>
      </w:r>
      <w:r>
        <w:rPr>
          <w:rFonts w:ascii="Cambria" w:hAnsi="Cambria"/>
          <w:b/>
          <w:spacing w:val="-8"/>
          <w:sz w:val="24"/>
        </w:rPr>
        <w:t> </w:t>
      </w:r>
      <w:r>
        <w:rPr>
          <w:rFonts w:ascii="Cambria" w:hAnsi="Cambria"/>
          <w:b/>
          <w:sz w:val="24"/>
        </w:rPr>
        <w:t>n°</w:t>
      </w:r>
      <w:r>
        <w:rPr>
          <w:rFonts w:ascii="Cambria" w:hAnsi="Cambria"/>
          <w:b/>
          <w:spacing w:val="-7"/>
          <w:sz w:val="24"/>
        </w:rPr>
        <w:t> </w:t>
      </w:r>
      <w:r>
        <w:rPr>
          <w:rFonts w:ascii="Cambria" w:hAnsi="Cambria"/>
          <w:b/>
          <w:sz w:val="24"/>
        </w:rPr>
        <w:t>2</w:t>
      </w:r>
      <w:r>
        <w:rPr>
          <w:rFonts w:ascii="Cambria" w:hAnsi="Cambria"/>
          <w:b/>
          <w:spacing w:val="3"/>
          <w:sz w:val="24"/>
        </w:rPr>
        <w:t> </w:t>
      </w:r>
      <w:r>
        <w:rPr>
          <w:sz w:val="24"/>
        </w:rPr>
        <w:t>:</w:t>
      </w:r>
      <w:r>
        <w:rPr>
          <w:spacing w:val="-4"/>
          <w:sz w:val="24"/>
        </w:rPr>
        <w:t> </w:t>
      </w:r>
      <w:r>
        <w:rPr>
          <w:sz w:val="24"/>
        </w:rPr>
        <w:t>factures</w:t>
      </w:r>
      <w:r>
        <w:rPr>
          <w:spacing w:val="-4"/>
          <w:sz w:val="24"/>
        </w:rPr>
        <w:t> </w:t>
      </w:r>
      <w:r>
        <w:rPr>
          <w:sz w:val="24"/>
        </w:rPr>
        <w:t>faisant</w:t>
      </w:r>
      <w:r>
        <w:rPr>
          <w:spacing w:val="-3"/>
          <w:sz w:val="24"/>
        </w:rPr>
        <w:t> </w:t>
      </w:r>
      <w:r>
        <w:rPr>
          <w:sz w:val="24"/>
        </w:rPr>
        <w:t>état</w:t>
      </w:r>
      <w:r>
        <w:rPr>
          <w:spacing w:val="-3"/>
          <w:sz w:val="24"/>
        </w:rPr>
        <w:t> </w:t>
      </w:r>
      <w:r>
        <w:rPr>
          <w:sz w:val="24"/>
        </w:rPr>
        <w:t>d’investissements</w:t>
      </w:r>
      <w:r>
        <w:rPr>
          <w:spacing w:val="-2"/>
          <w:sz w:val="24"/>
        </w:rPr>
        <w:t> publicitaires.</w:t>
      </w:r>
    </w:p>
    <w:p>
      <w:pPr>
        <w:pStyle w:val="BodyText"/>
        <w:spacing w:before="26"/>
      </w:pPr>
    </w:p>
    <w:p>
      <w:pPr>
        <w:pStyle w:val="BodyText"/>
        <w:spacing w:before="1"/>
        <w:ind w:left="3" w:right="154"/>
        <w:jc w:val="both"/>
      </w:pPr>
      <w:r>
        <w:rPr/>
        <w:t>Il</w:t>
      </w:r>
      <w:r>
        <w:rPr>
          <w:spacing w:val="-2"/>
        </w:rPr>
        <w:t> </w:t>
      </w:r>
      <w:r>
        <w:rPr/>
        <w:t>n’est</w:t>
      </w:r>
      <w:r>
        <w:rPr>
          <w:spacing w:val="-4"/>
        </w:rPr>
        <w:t> </w:t>
      </w:r>
      <w:r>
        <w:rPr/>
        <w:t>pas</w:t>
      </w:r>
      <w:r>
        <w:rPr>
          <w:spacing w:val="-3"/>
        </w:rPr>
        <w:t> </w:t>
      </w:r>
      <w:r>
        <w:rPr/>
        <w:t>contesté</w:t>
      </w:r>
      <w:r>
        <w:rPr>
          <w:spacing w:val="-2"/>
        </w:rPr>
        <w:t> </w:t>
      </w:r>
      <w:r>
        <w:rPr/>
        <w:t>par</w:t>
      </w:r>
      <w:r>
        <w:rPr>
          <w:spacing w:val="-3"/>
        </w:rPr>
        <w:t> </w:t>
      </w:r>
      <w:r>
        <w:rPr/>
        <w:t>le</w:t>
      </w:r>
      <w:r>
        <w:rPr>
          <w:spacing w:val="-2"/>
        </w:rPr>
        <w:t> </w:t>
      </w:r>
      <w:r>
        <w:rPr/>
        <w:t>déposant</w:t>
      </w:r>
      <w:r>
        <w:rPr>
          <w:spacing w:val="-4"/>
        </w:rPr>
        <w:t> </w:t>
      </w:r>
      <w:r>
        <w:rPr/>
        <w:t>qu’au</w:t>
      </w:r>
      <w:r>
        <w:rPr>
          <w:spacing w:val="-3"/>
        </w:rPr>
        <w:t> </w:t>
      </w:r>
      <w:r>
        <w:rPr/>
        <w:t>vu</w:t>
      </w:r>
      <w:r>
        <w:rPr>
          <w:spacing w:val="-3"/>
        </w:rPr>
        <w:t> </w:t>
      </w:r>
      <w:r>
        <w:rPr/>
        <w:t>de</w:t>
      </w:r>
      <w:r>
        <w:rPr>
          <w:spacing w:val="-2"/>
        </w:rPr>
        <w:t> </w:t>
      </w:r>
      <w:r>
        <w:rPr/>
        <w:t>ces</w:t>
      </w:r>
      <w:r>
        <w:rPr>
          <w:spacing w:val="-3"/>
        </w:rPr>
        <w:t> </w:t>
      </w:r>
      <w:r>
        <w:rPr/>
        <w:t>pièces,</w:t>
      </w:r>
      <w:r>
        <w:rPr>
          <w:spacing w:val="-2"/>
        </w:rPr>
        <w:t> </w:t>
      </w:r>
      <w:r>
        <w:rPr/>
        <w:t>la</w:t>
      </w:r>
      <w:r>
        <w:rPr>
          <w:spacing w:val="-4"/>
        </w:rPr>
        <w:t> </w:t>
      </w:r>
      <w:r>
        <w:rPr/>
        <w:t>marque</w:t>
      </w:r>
      <w:r>
        <w:rPr>
          <w:spacing w:val="-2"/>
        </w:rPr>
        <w:t> </w:t>
      </w:r>
      <w:r>
        <w:rPr/>
        <w:t>antérieure JOY</w:t>
      </w:r>
      <w:r>
        <w:rPr>
          <w:spacing w:val="-3"/>
        </w:rPr>
        <w:t> </w:t>
      </w:r>
      <w:r>
        <w:rPr/>
        <w:t>a</w:t>
      </w:r>
      <w:r>
        <w:rPr>
          <w:spacing w:val="-4"/>
        </w:rPr>
        <w:t> </w:t>
      </w:r>
      <w:r>
        <w:rPr/>
        <w:t>acquis une renommée sur le marché pertinent de l’Union européenne, et particulièrement en France, au regard des « </w:t>
      </w:r>
      <w:r>
        <w:rPr>
          <w:i/>
        </w:rPr>
        <w:t>Produits de parfumerie, parfums, eaux de toilette </w:t>
      </w:r>
      <w:r>
        <w:rPr/>
        <w:t>».</w:t>
      </w:r>
    </w:p>
    <w:p>
      <w:pPr>
        <w:pStyle w:val="BodyText"/>
        <w:spacing w:before="276"/>
        <w:ind w:left="3" w:right="150"/>
        <w:jc w:val="both"/>
      </w:pPr>
      <w:r>
        <w:rPr/>
        <w:t>En conséquence, il convient d’examiner l’atteinte portée par le signe contesté à la renommée de la marque antérieure en ce qui concerne les produits précités.</w:t>
      </w:r>
    </w:p>
    <w:p>
      <w:pPr>
        <w:pStyle w:val="BodyText"/>
      </w:pPr>
    </w:p>
    <w:p>
      <w:pPr>
        <w:pStyle w:val="BodyText"/>
        <w:spacing w:before="22"/>
      </w:pPr>
    </w:p>
    <w:p>
      <w:pPr>
        <w:pStyle w:val="Heading1"/>
        <w:ind w:left="3"/>
        <w:jc w:val="both"/>
      </w:pPr>
      <w:r>
        <w:rPr/>
        <w:t>Sur</w:t>
      </w:r>
      <w:r>
        <w:rPr>
          <w:spacing w:val="8"/>
        </w:rPr>
        <w:t> </w:t>
      </w:r>
      <w:r>
        <w:rPr/>
        <w:t>la</w:t>
      </w:r>
      <w:r>
        <w:rPr>
          <w:spacing w:val="9"/>
        </w:rPr>
        <w:t> </w:t>
      </w:r>
      <w:r>
        <w:rPr/>
        <w:t>comparaison</w:t>
      </w:r>
      <w:r>
        <w:rPr>
          <w:spacing w:val="7"/>
        </w:rPr>
        <w:t> </w:t>
      </w:r>
      <w:r>
        <w:rPr/>
        <w:t>des</w:t>
      </w:r>
      <w:r>
        <w:rPr>
          <w:spacing w:val="7"/>
        </w:rPr>
        <w:t> </w:t>
      </w:r>
      <w:r>
        <w:rPr>
          <w:spacing w:val="-2"/>
        </w:rPr>
        <w:t>signes</w:t>
      </w:r>
    </w:p>
    <w:p>
      <w:pPr>
        <w:pStyle w:val="BodyText"/>
        <w:spacing w:before="21"/>
        <w:rPr>
          <w:rFonts w:ascii="Cambria"/>
          <w:b/>
        </w:rPr>
      </w:pPr>
    </w:p>
    <w:p>
      <w:pPr>
        <w:pStyle w:val="BodyText"/>
        <w:ind w:left="3"/>
        <w:jc w:val="both"/>
      </w:pPr>
      <w:r>
        <w:rPr/>
        <w:t>La</w:t>
      </w:r>
      <w:r>
        <w:rPr>
          <w:spacing w:val="-5"/>
        </w:rPr>
        <w:t> </w:t>
      </w:r>
      <w:r>
        <w:rPr/>
        <w:t>marque</w:t>
      </w:r>
      <w:r>
        <w:rPr>
          <w:spacing w:val="-3"/>
        </w:rPr>
        <w:t> </w:t>
      </w:r>
      <w:r>
        <w:rPr/>
        <w:t>antérieure</w:t>
      </w:r>
      <w:r>
        <w:rPr>
          <w:spacing w:val="-2"/>
        </w:rPr>
        <w:t> </w:t>
      </w:r>
      <w:r>
        <w:rPr/>
        <w:t>porte</w:t>
      </w:r>
      <w:r>
        <w:rPr>
          <w:spacing w:val="-3"/>
        </w:rPr>
        <w:t> </w:t>
      </w:r>
      <w:r>
        <w:rPr/>
        <w:t>sur</w:t>
      </w:r>
      <w:r>
        <w:rPr>
          <w:spacing w:val="-3"/>
        </w:rPr>
        <w:t> </w:t>
      </w:r>
      <w:r>
        <w:rPr/>
        <w:t>le</w:t>
      </w:r>
      <w:r>
        <w:rPr>
          <w:spacing w:val="-5"/>
        </w:rPr>
        <w:t> </w:t>
      </w:r>
      <w:r>
        <w:rPr/>
        <w:t>signe</w:t>
      </w:r>
      <w:r>
        <w:rPr>
          <w:spacing w:val="-4"/>
        </w:rPr>
        <w:t> </w:t>
      </w:r>
      <w:r>
        <w:rPr/>
        <w:t>verbal</w:t>
      </w:r>
      <w:r>
        <w:rPr>
          <w:spacing w:val="-2"/>
        </w:rPr>
        <w:t> </w:t>
      </w:r>
      <w:r>
        <w:rPr>
          <w:spacing w:val="-4"/>
        </w:rPr>
        <w:t>JOY.</w:t>
      </w:r>
    </w:p>
    <w:p>
      <w:pPr>
        <w:pStyle w:val="BodyText"/>
      </w:pPr>
    </w:p>
    <w:p>
      <w:pPr>
        <w:pStyle w:val="BodyText"/>
        <w:ind w:left="3"/>
        <w:jc w:val="both"/>
      </w:pPr>
      <w:r>
        <w:rPr/>
        <w:t>La</w:t>
      </w:r>
      <w:r>
        <w:rPr>
          <w:spacing w:val="-5"/>
        </w:rPr>
        <w:t> </w:t>
      </w:r>
      <w:r>
        <w:rPr/>
        <w:t>société</w:t>
      </w:r>
      <w:r>
        <w:rPr>
          <w:spacing w:val="-2"/>
        </w:rPr>
        <w:t> </w:t>
      </w:r>
      <w:r>
        <w:rPr/>
        <w:t>opposante</w:t>
      </w:r>
      <w:r>
        <w:rPr>
          <w:spacing w:val="-4"/>
        </w:rPr>
        <w:t> </w:t>
      </w:r>
      <w:r>
        <w:rPr/>
        <w:t>soutient</w:t>
      </w:r>
      <w:r>
        <w:rPr>
          <w:spacing w:val="-3"/>
        </w:rPr>
        <w:t> </w:t>
      </w:r>
      <w:r>
        <w:rPr/>
        <w:t>que</w:t>
      </w:r>
      <w:r>
        <w:rPr>
          <w:spacing w:val="-2"/>
        </w:rPr>
        <w:t> </w:t>
      </w:r>
      <w:r>
        <w:rPr/>
        <w:t>les</w:t>
      </w:r>
      <w:r>
        <w:rPr>
          <w:spacing w:val="-3"/>
        </w:rPr>
        <w:t> </w:t>
      </w:r>
      <w:r>
        <w:rPr/>
        <w:t>signes</w:t>
      </w:r>
      <w:r>
        <w:rPr>
          <w:spacing w:val="-4"/>
        </w:rPr>
        <w:t> </w:t>
      </w:r>
      <w:r>
        <w:rPr/>
        <w:t>en</w:t>
      </w:r>
      <w:r>
        <w:rPr>
          <w:spacing w:val="-3"/>
        </w:rPr>
        <w:t> </w:t>
      </w:r>
      <w:r>
        <w:rPr/>
        <w:t>cause</w:t>
      </w:r>
      <w:r>
        <w:rPr>
          <w:spacing w:val="-4"/>
        </w:rPr>
        <w:t> </w:t>
      </w:r>
      <w:r>
        <w:rPr/>
        <w:t>sont</w:t>
      </w:r>
      <w:r>
        <w:rPr>
          <w:spacing w:val="-4"/>
        </w:rPr>
        <w:t> </w:t>
      </w:r>
      <w:r>
        <w:rPr>
          <w:spacing w:val="-2"/>
        </w:rPr>
        <w:t>similaires.</w:t>
      </w:r>
    </w:p>
    <w:p>
      <w:pPr>
        <w:pStyle w:val="BodyText"/>
      </w:pPr>
    </w:p>
    <w:p>
      <w:pPr>
        <w:pStyle w:val="BodyText"/>
        <w:ind w:left="3" w:right="143"/>
        <w:jc w:val="both"/>
      </w:pPr>
      <w:r>
        <w:rPr/>
        <w:t>Pour les raisons développées précédemment et auxquelles il convient de se référer, le signe contesté doit être considéré comme similaire à la présente marque antérieure, qui porte sur le même signe que celui ci-dessus examiné.</w:t>
      </w:r>
    </w:p>
    <w:p>
      <w:pPr>
        <w:pStyle w:val="Heading1"/>
        <w:spacing w:before="20"/>
        <w:ind w:left="997"/>
      </w:pPr>
      <w:r>
        <w:rPr/>
        <w:t>Sur</w:t>
      </w:r>
      <w:r>
        <w:rPr>
          <w:spacing w:val="2"/>
        </w:rPr>
        <w:t> </w:t>
      </w:r>
      <w:r>
        <w:rPr/>
        <w:t>le</w:t>
      </w:r>
      <w:r>
        <w:rPr>
          <w:spacing w:val="2"/>
        </w:rPr>
        <w:t> </w:t>
      </w:r>
      <w:r>
        <w:rPr/>
        <w:t>lien</w:t>
      </w:r>
      <w:r>
        <w:rPr>
          <w:spacing w:val="3"/>
        </w:rPr>
        <w:t> </w:t>
      </w:r>
      <w:r>
        <w:rPr/>
        <w:t>entre</w:t>
      </w:r>
      <w:r>
        <w:rPr>
          <w:spacing w:val="2"/>
        </w:rPr>
        <w:t> </w:t>
      </w:r>
      <w:r>
        <w:rPr/>
        <w:t>les</w:t>
      </w:r>
      <w:r>
        <w:rPr>
          <w:spacing w:val="4"/>
        </w:rPr>
        <w:t> </w:t>
      </w:r>
      <w:r>
        <w:rPr/>
        <w:t>marques</w:t>
      </w:r>
      <w:r>
        <w:rPr>
          <w:spacing w:val="4"/>
        </w:rPr>
        <w:t> </w:t>
      </w:r>
      <w:r>
        <w:rPr/>
        <w:t>dans</w:t>
      </w:r>
      <w:r>
        <w:rPr>
          <w:spacing w:val="1"/>
        </w:rPr>
        <w:t> </w:t>
      </w:r>
      <w:r>
        <w:rPr/>
        <w:t>l’esprit</w:t>
      </w:r>
      <w:r>
        <w:rPr>
          <w:spacing w:val="1"/>
        </w:rPr>
        <w:t> </w:t>
      </w:r>
      <w:r>
        <w:rPr/>
        <w:t>du</w:t>
      </w:r>
      <w:r>
        <w:rPr>
          <w:spacing w:val="3"/>
        </w:rPr>
        <w:t> </w:t>
      </w:r>
      <w:r>
        <w:rPr>
          <w:spacing w:val="-2"/>
        </w:rPr>
        <w:t>public</w:t>
      </w:r>
    </w:p>
    <w:p>
      <w:pPr>
        <w:pStyle w:val="BodyText"/>
        <w:spacing w:before="75"/>
        <w:rPr>
          <w:rFonts w:ascii="Cambria"/>
          <w:b/>
        </w:rPr>
      </w:pPr>
    </w:p>
    <w:p>
      <w:pPr>
        <w:pStyle w:val="BodyText"/>
        <w:ind w:left="3" w:right="154"/>
        <w:jc w:val="both"/>
      </w:pPr>
      <w:r>
        <w:rPr/>
        <w:t>Afin d’établir l’existence d’un risque de préjudice, il convient d’établir que, compte tenu de tous les facteurs pertinents, le public concerné établira un lien entre les signes.</w:t>
      </w:r>
    </w:p>
    <w:p>
      <w:pPr>
        <w:pStyle w:val="BodyText"/>
      </w:pPr>
    </w:p>
    <w:p>
      <w:pPr>
        <w:pStyle w:val="BodyText"/>
        <w:spacing w:before="1"/>
        <w:ind w:left="3" w:right="152"/>
        <w:jc w:val="both"/>
      </w:pPr>
      <w:r>
        <w:rPr/>
        <w:t>Les critères pertinents sont notamment le degré de similarité entre les signes, la nature des produits et des services (y compris le degré de similarité ou de dissemblance de ces produits</w:t>
      </w:r>
      <w:r>
        <w:rPr>
          <w:spacing w:val="40"/>
        </w:rPr>
        <w:t> </w:t>
      </w:r>
      <w:r>
        <w:rPr/>
        <w:t>et services) ainsi que le public concerné, l’intensité de la renommée de la marque antérieure, (afin de déterminer si celle-ci s’étend au-delà du public visé par cette marque), le degré de caractère distinctif intrinsèque ou acquis par l’usage de la marque antérieure et l’existence d’un risque de confusion s’il en existe un.</w:t>
      </w:r>
    </w:p>
    <w:p>
      <w:pPr>
        <w:spacing w:before="276"/>
        <w:ind w:left="3" w:right="193" w:firstLine="0"/>
        <w:jc w:val="both"/>
        <w:rPr>
          <w:sz w:val="24"/>
        </w:rPr>
      </w:pPr>
      <w:r>
        <w:rPr>
          <w:sz w:val="24"/>
        </w:rPr>
        <w:t>En l’espèce, l’opposition fondée sur l’atteinte à la marque de renommée antérieure JOY est dirigée à l’encontre de l’intégralité de la demande contestée. Toutefois, les produits restant à comparer</w:t>
      </w:r>
      <w:r>
        <w:rPr>
          <w:spacing w:val="-1"/>
          <w:sz w:val="24"/>
        </w:rPr>
        <w:t> </w:t>
      </w:r>
      <w:r>
        <w:rPr>
          <w:sz w:val="24"/>
        </w:rPr>
        <w:t>sont</w:t>
      </w:r>
      <w:r>
        <w:rPr>
          <w:spacing w:val="-4"/>
          <w:sz w:val="24"/>
        </w:rPr>
        <w:t> </w:t>
      </w:r>
      <w:r>
        <w:rPr>
          <w:sz w:val="24"/>
        </w:rPr>
        <w:t>les</w:t>
      </w:r>
      <w:r>
        <w:rPr>
          <w:spacing w:val="-2"/>
          <w:sz w:val="24"/>
        </w:rPr>
        <w:t> </w:t>
      </w:r>
      <w:r>
        <w:rPr>
          <w:sz w:val="24"/>
        </w:rPr>
        <w:t>suivants :</w:t>
      </w:r>
      <w:r>
        <w:rPr>
          <w:spacing w:val="-3"/>
          <w:sz w:val="24"/>
        </w:rPr>
        <w:t> </w:t>
      </w:r>
      <w:r>
        <w:rPr>
          <w:sz w:val="24"/>
        </w:rPr>
        <w:t>«</w:t>
      </w:r>
      <w:r>
        <w:rPr>
          <w:spacing w:val="-4"/>
          <w:sz w:val="24"/>
        </w:rPr>
        <w:t> </w:t>
      </w:r>
      <w:r>
        <w:rPr>
          <w:i/>
          <w:sz w:val="24"/>
        </w:rPr>
        <w:t>aliments</w:t>
      </w:r>
      <w:r>
        <w:rPr>
          <w:i/>
          <w:spacing w:val="-2"/>
          <w:sz w:val="24"/>
        </w:rPr>
        <w:t> </w:t>
      </w:r>
      <w:r>
        <w:rPr>
          <w:i/>
          <w:sz w:val="24"/>
        </w:rPr>
        <w:t>pour</w:t>
      </w:r>
      <w:r>
        <w:rPr>
          <w:i/>
          <w:spacing w:val="-4"/>
          <w:sz w:val="24"/>
        </w:rPr>
        <w:t> </w:t>
      </w:r>
      <w:r>
        <w:rPr>
          <w:i/>
          <w:sz w:val="24"/>
        </w:rPr>
        <w:t>bébés ;</w:t>
      </w:r>
      <w:r>
        <w:rPr>
          <w:i/>
          <w:spacing w:val="-4"/>
          <w:sz w:val="24"/>
        </w:rPr>
        <w:t> </w:t>
      </w:r>
      <w:r>
        <w:rPr>
          <w:i/>
          <w:sz w:val="24"/>
        </w:rPr>
        <w:t>produits</w:t>
      </w:r>
      <w:r>
        <w:rPr>
          <w:i/>
          <w:spacing w:val="-2"/>
          <w:sz w:val="24"/>
        </w:rPr>
        <w:t> </w:t>
      </w:r>
      <w:r>
        <w:rPr>
          <w:i/>
          <w:sz w:val="24"/>
        </w:rPr>
        <w:t>pour</w:t>
      </w:r>
      <w:r>
        <w:rPr>
          <w:i/>
          <w:spacing w:val="-2"/>
          <w:sz w:val="24"/>
        </w:rPr>
        <w:t> </w:t>
      </w:r>
      <w:r>
        <w:rPr>
          <w:i/>
          <w:sz w:val="24"/>
        </w:rPr>
        <w:t>la</w:t>
      </w:r>
      <w:r>
        <w:rPr>
          <w:i/>
          <w:spacing w:val="-3"/>
          <w:sz w:val="24"/>
        </w:rPr>
        <w:t> </w:t>
      </w:r>
      <w:r>
        <w:rPr>
          <w:i/>
          <w:sz w:val="24"/>
        </w:rPr>
        <w:t>destruction</w:t>
      </w:r>
      <w:r>
        <w:rPr>
          <w:i/>
          <w:spacing w:val="-3"/>
          <w:sz w:val="24"/>
        </w:rPr>
        <w:t> </w:t>
      </w:r>
      <w:r>
        <w:rPr>
          <w:i/>
          <w:sz w:val="24"/>
        </w:rPr>
        <w:t>des</w:t>
      </w:r>
      <w:r>
        <w:rPr>
          <w:i/>
          <w:spacing w:val="-2"/>
          <w:sz w:val="24"/>
        </w:rPr>
        <w:t> </w:t>
      </w:r>
      <w:r>
        <w:rPr>
          <w:i/>
          <w:sz w:val="24"/>
        </w:rPr>
        <w:t>animaux nuisibles ; fongicides ; culottes hygiéniques ; serviettes hygiéniques ; parasiticides ; tisanes médicinales ; herbes médicinales </w:t>
      </w:r>
      <w:r>
        <w:rPr>
          <w:sz w:val="24"/>
        </w:rPr>
        <w:t>», dans la mesure où ces produits n’ont pas été précédemment considérés comme identiques ou similaires.</w:t>
      </w:r>
    </w:p>
    <w:p>
      <w:pPr>
        <w:pStyle w:val="BodyText"/>
      </w:pPr>
    </w:p>
    <w:p>
      <w:pPr>
        <w:pStyle w:val="BodyText"/>
        <w:spacing w:line="259" w:lineRule="auto"/>
        <w:ind w:left="3" w:right="139"/>
        <w:jc w:val="both"/>
      </w:pPr>
      <w:r>
        <w:rPr/>
        <w:t>Pour démontrer l’existence d’un lien entre les signes dans l’esprit du public, la société opposante invoque le fort degré de similitude entre les signes, le lien qui existe entre les secteurs et produits en cause et la renommée de la marque antérieure.</w:t>
      </w:r>
    </w:p>
    <w:p>
      <w:pPr>
        <w:pStyle w:val="BodyText"/>
        <w:spacing w:after="0" w:line="259" w:lineRule="auto"/>
        <w:jc w:val="both"/>
        <w:sectPr>
          <w:pgSz w:w="11910" w:h="16840"/>
          <w:pgMar w:header="0" w:footer="840" w:top="1900" w:bottom="1040" w:left="1417" w:right="1275"/>
        </w:sectPr>
      </w:pPr>
    </w:p>
    <w:p>
      <w:pPr>
        <w:pStyle w:val="BodyText"/>
        <w:spacing w:before="68"/>
        <w:ind w:left="3" w:right="140"/>
        <w:jc w:val="both"/>
      </w:pPr>
      <w:r>
        <w:rPr/>
        <w:t>En l’espèce, il est vrai que la marque antérieure possède un caractère distinctif intrinsèque, lequel est accru par sa renommée auprès du grand public au regard des « </w:t>
      </w:r>
      <w:r>
        <w:rPr>
          <w:i/>
        </w:rPr>
        <w:t>Produits de parfumerie, parfums, eaux de toilette </w:t>
      </w:r>
      <w:r>
        <w:rPr/>
        <w:t>», tel que démontré précédemment.</w:t>
      </w:r>
    </w:p>
    <w:p>
      <w:pPr>
        <w:pStyle w:val="BodyText"/>
      </w:pPr>
    </w:p>
    <w:p>
      <w:pPr>
        <w:pStyle w:val="BodyText"/>
        <w:ind w:left="3"/>
        <w:jc w:val="both"/>
      </w:pPr>
      <w:r>
        <w:rPr/>
        <w:t>En</w:t>
      </w:r>
      <w:r>
        <w:rPr>
          <w:spacing w:val="-4"/>
        </w:rPr>
        <w:t> </w:t>
      </w:r>
      <w:r>
        <w:rPr/>
        <w:t>outre,</w:t>
      </w:r>
      <w:r>
        <w:rPr>
          <w:spacing w:val="-5"/>
        </w:rPr>
        <w:t> </w:t>
      </w:r>
      <w:r>
        <w:rPr/>
        <w:t>les</w:t>
      </w:r>
      <w:r>
        <w:rPr>
          <w:spacing w:val="-5"/>
        </w:rPr>
        <w:t> </w:t>
      </w:r>
      <w:r>
        <w:rPr/>
        <w:t>signes</w:t>
      </w:r>
      <w:r>
        <w:rPr>
          <w:spacing w:val="-5"/>
        </w:rPr>
        <w:t> </w:t>
      </w:r>
      <w:r>
        <w:rPr/>
        <w:t>en</w:t>
      </w:r>
      <w:r>
        <w:rPr>
          <w:spacing w:val="-4"/>
        </w:rPr>
        <w:t> </w:t>
      </w:r>
      <w:r>
        <w:rPr/>
        <w:t>présence</w:t>
      </w:r>
      <w:r>
        <w:rPr>
          <w:spacing w:val="-6"/>
        </w:rPr>
        <w:t> </w:t>
      </w:r>
      <w:r>
        <w:rPr/>
        <w:t>peuvent</w:t>
      </w:r>
      <w:r>
        <w:rPr>
          <w:spacing w:val="-4"/>
        </w:rPr>
        <w:t> </w:t>
      </w:r>
      <w:r>
        <w:rPr/>
        <w:t>apparaître</w:t>
      </w:r>
      <w:r>
        <w:rPr>
          <w:spacing w:val="-2"/>
        </w:rPr>
        <w:t> </w:t>
      </w:r>
      <w:r>
        <w:rPr/>
        <w:t>similaires,</w:t>
      </w:r>
      <w:r>
        <w:rPr>
          <w:spacing w:val="-4"/>
        </w:rPr>
        <w:t> </w:t>
      </w:r>
      <w:r>
        <w:rPr/>
        <w:t>comme</w:t>
      </w:r>
      <w:r>
        <w:rPr>
          <w:spacing w:val="-4"/>
        </w:rPr>
        <w:t> </w:t>
      </w:r>
      <w:r>
        <w:rPr/>
        <w:t>précédemment</w:t>
      </w:r>
      <w:r>
        <w:rPr>
          <w:spacing w:val="-2"/>
        </w:rPr>
        <w:t> établi.</w:t>
      </w:r>
    </w:p>
    <w:p>
      <w:pPr>
        <w:pStyle w:val="BodyText"/>
      </w:pPr>
    </w:p>
    <w:p>
      <w:pPr>
        <w:spacing w:before="0"/>
        <w:ind w:left="3" w:right="140" w:firstLine="0"/>
        <w:jc w:val="both"/>
        <w:rPr>
          <w:sz w:val="24"/>
        </w:rPr>
      </w:pPr>
      <w:r>
        <w:rPr>
          <w:sz w:val="24"/>
        </w:rPr>
        <w:t>Ainsi, si les «</w:t>
      </w:r>
      <w:r>
        <w:rPr>
          <w:spacing w:val="-1"/>
          <w:sz w:val="24"/>
        </w:rPr>
        <w:t> </w:t>
      </w:r>
      <w:r>
        <w:rPr>
          <w:i/>
          <w:sz w:val="24"/>
        </w:rPr>
        <w:t>aliments pour bébés ; produits pour la destruction des animaux nuisibles ; fongicides</w:t>
      </w:r>
      <w:r>
        <w:rPr>
          <w:i/>
          <w:spacing w:val="40"/>
          <w:sz w:val="24"/>
        </w:rPr>
        <w:t> </w:t>
      </w:r>
      <w:r>
        <w:rPr>
          <w:i/>
          <w:sz w:val="24"/>
        </w:rPr>
        <w:t>;</w:t>
      </w:r>
      <w:r>
        <w:rPr>
          <w:i/>
          <w:spacing w:val="40"/>
          <w:sz w:val="24"/>
        </w:rPr>
        <w:t> </w:t>
      </w:r>
      <w:r>
        <w:rPr>
          <w:i/>
          <w:sz w:val="24"/>
        </w:rPr>
        <w:t>culottes</w:t>
      </w:r>
      <w:r>
        <w:rPr>
          <w:i/>
          <w:spacing w:val="40"/>
          <w:sz w:val="24"/>
        </w:rPr>
        <w:t> </w:t>
      </w:r>
      <w:r>
        <w:rPr>
          <w:i/>
          <w:sz w:val="24"/>
        </w:rPr>
        <w:t>hygiéniques</w:t>
      </w:r>
      <w:r>
        <w:rPr>
          <w:i/>
          <w:spacing w:val="40"/>
          <w:sz w:val="24"/>
        </w:rPr>
        <w:t> </w:t>
      </w:r>
      <w:r>
        <w:rPr>
          <w:i/>
          <w:sz w:val="24"/>
        </w:rPr>
        <w:t>;</w:t>
      </w:r>
      <w:r>
        <w:rPr>
          <w:i/>
          <w:spacing w:val="40"/>
          <w:sz w:val="24"/>
        </w:rPr>
        <w:t> </w:t>
      </w:r>
      <w:r>
        <w:rPr>
          <w:i/>
          <w:sz w:val="24"/>
        </w:rPr>
        <w:t>serviettes</w:t>
      </w:r>
      <w:r>
        <w:rPr>
          <w:i/>
          <w:spacing w:val="40"/>
          <w:sz w:val="24"/>
        </w:rPr>
        <w:t> </w:t>
      </w:r>
      <w:r>
        <w:rPr>
          <w:i/>
          <w:sz w:val="24"/>
        </w:rPr>
        <w:t>hygiéniques</w:t>
      </w:r>
      <w:r>
        <w:rPr>
          <w:i/>
          <w:spacing w:val="40"/>
          <w:sz w:val="24"/>
        </w:rPr>
        <w:t> </w:t>
      </w:r>
      <w:r>
        <w:rPr>
          <w:i/>
          <w:sz w:val="24"/>
        </w:rPr>
        <w:t>;</w:t>
      </w:r>
      <w:r>
        <w:rPr>
          <w:i/>
          <w:spacing w:val="40"/>
          <w:sz w:val="24"/>
        </w:rPr>
        <w:t> </w:t>
      </w:r>
      <w:r>
        <w:rPr>
          <w:i/>
          <w:sz w:val="24"/>
        </w:rPr>
        <w:t>parasiticides</w:t>
      </w:r>
      <w:r>
        <w:rPr>
          <w:i/>
          <w:spacing w:val="40"/>
          <w:sz w:val="24"/>
        </w:rPr>
        <w:t> </w:t>
      </w:r>
      <w:r>
        <w:rPr>
          <w:i/>
          <w:sz w:val="24"/>
        </w:rPr>
        <w:t>;</w:t>
      </w:r>
      <w:r>
        <w:rPr>
          <w:i/>
          <w:spacing w:val="40"/>
          <w:sz w:val="24"/>
        </w:rPr>
        <w:t> </w:t>
      </w:r>
      <w:r>
        <w:rPr>
          <w:i/>
          <w:sz w:val="24"/>
        </w:rPr>
        <w:t>tisanes médicinales ; herbes médicinales </w:t>
      </w:r>
      <w:r>
        <w:rPr>
          <w:sz w:val="24"/>
        </w:rPr>
        <w:t>» de la demande d’enregistrement et les «</w:t>
      </w:r>
      <w:r>
        <w:rPr>
          <w:spacing w:val="-2"/>
          <w:sz w:val="24"/>
        </w:rPr>
        <w:t> </w:t>
      </w:r>
      <w:r>
        <w:rPr>
          <w:i/>
          <w:sz w:val="24"/>
        </w:rPr>
        <w:t>Produits de parfumerie, parfums, eaux de toilette </w:t>
      </w:r>
      <w:r>
        <w:rPr>
          <w:sz w:val="24"/>
        </w:rPr>
        <w:t>» pour lesquels la marque antérieure est renommée présentent des différences, la société opposante fait valoir qu’il existe un lien entre les</w:t>
      </w:r>
      <w:r>
        <w:rPr>
          <w:spacing w:val="40"/>
          <w:sz w:val="24"/>
        </w:rPr>
        <w:t> </w:t>
      </w:r>
      <w:r>
        <w:rPr>
          <w:sz w:val="24"/>
        </w:rPr>
        <w:t>produits précités «</w:t>
      </w:r>
      <w:r>
        <w:rPr>
          <w:spacing w:val="-3"/>
          <w:sz w:val="24"/>
        </w:rPr>
        <w:t> </w:t>
      </w:r>
      <w:r>
        <w:rPr>
          <w:i/>
          <w:sz w:val="24"/>
        </w:rPr>
        <w:t>en ce qu’ils participent à la mise en beauté, au soin et au nettoyage </w:t>
      </w:r>
      <w:r>
        <w:rPr>
          <w:sz w:val="24"/>
        </w:rPr>
        <w:t>», ce que ne conteste pas le déposant.</w:t>
      </w:r>
    </w:p>
    <w:p>
      <w:pPr>
        <w:pStyle w:val="BodyText"/>
      </w:pPr>
    </w:p>
    <w:p>
      <w:pPr>
        <w:pStyle w:val="BodyText"/>
        <w:ind w:left="3" w:right="152"/>
        <w:jc w:val="both"/>
      </w:pPr>
      <w:r>
        <w:rPr/>
        <w:t>En</w:t>
      </w:r>
      <w:r>
        <w:rPr>
          <w:spacing w:val="-3"/>
        </w:rPr>
        <w:t> </w:t>
      </w:r>
      <w:r>
        <w:rPr/>
        <w:t>conséquence,</w:t>
      </w:r>
      <w:r>
        <w:rPr>
          <w:spacing w:val="-1"/>
        </w:rPr>
        <w:t> </w:t>
      </w:r>
      <w:r>
        <w:rPr/>
        <w:t>les</w:t>
      </w:r>
      <w:r>
        <w:rPr>
          <w:spacing w:val="-4"/>
        </w:rPr>
        <w:t> </w:t>
      </w:r>
      <w:r>
        <w:rPr/>
        <w:t>consommateurs seront</w:t>
      </w:r>
      <w:r>
        <w:rPr>
          <w:spacing w:val="-3"/>
        </w:rPr>
        <w:t> </w:t>
      </w:r>
      <w:r>
        <w:rPr/>
        <w:t>incités</w:t>
      </w:r>
      <w:r>
        <w:rPr>
          <w:spacing w:val="-2"/>
        </w:rPr>
        <w:t> </w:t>
      </w:r>
      <w:r>
        <w:rPr/>
        <w:t>à</w:t>
      </w:r>
      <w:r>
        <w:rPr>
          <w:spacing w:val="-3"/>
        </w:rPr>
        <w:t> </w:t>
      </w:r>
      <w:r>
        <w:rPr/>
        <w:t>établir</w:t>
      </w:r>
      <w:r>
        <w:rPr>
          <w:spacing w:val="-1"/>
        </w:rPr>
        <w:t> </w:t>
      </w:r>
      <w:r>
        <w:rPr/>
        <w:t>un</w:t>
      </w:r>
      <w:r>
        <w:rPr>
          <w:spacing w:val="-3"/>
        </w:rPr>
        <w:t> </w:t>
      </w:r>
      <w:r>
        <w:rPr/>
        <w:t>lien</w:t>
      </w:r>
      <w:r>
        <w:rPr>
          <w:spacing w:val="-3"/>
        </w:rPr>
        <w:t> </w:t>
      </w:r>
      <w:r>
        <w:rPr/>
        <w:t>entre</w:t>
      </w:r>
      <w:r>
        <w:rPr>
          <w:spacing w:val="-3"/>
        </w:rPr>
        <w:t> </w:t>
      </w:r>
      <w:r>
        <w:rPr/>
        <w:t>le</w:t>
      </w:r>
      <w:r>
        <w:rPr>
          <w:spacing w:val="-3"/>
        </w:rPr>
        <w:t> </w:t>
      </w:r>
      <w:r>
        <w:rPr/>
        <w:t>signe</w:t>
      </w:r>
      <w:r>
        <w:rPr>
          <w:spacing w:val="-3"/>
        </w:rPr>
        <w:t> </w:t>
      </w:r>
      <w:r>
        <w:rPr/>
        <w:t>contesté</w:t>
      </w:r>
      <w:r>
        <w:rPr>
          <w:spacing w:val="-2"/>
        </w:rPr>
        <w:t> </w:t>
      </w:r>
      <w:r>
        <w:rPr/>
        <w:t>et</w:t>
      </w:r>
      <w:r>
        <w:rPr>
          <w:spacing w:val="-3"/>
        </w:rPr>
        <w:t> </w:t>
      </w:r>
      <w:r>
        <w:rPr/>
        <w:t>la marque antérieure au regard des produits suivants de la demande d’enregistrement contestée :</w:t>
      </w:r>
    </w:p>
    <w:p>
      <w:pPr>
        <w:spacing w:before="0"/>
        <w:ind w:left="3" w:right="145" w:firstLine="0"/>
        <w:jc w:val="both"/>
        <w:rPr>
          <w:sz w:val="24"/>
        </w:rPr>
      </w:pPr>
      <w:r>
        <w:rPr>
          <w:sz w:val="24"/>
        </w:rPr>
        <w:t>«</w:t>
      </w:r>
      <w:r>
        <w:rPr>
          <w:spacing w:val="-3"/>
          <w:sz w:val="24"/>
        </w:rPr>
        <w:t> </w:t>
      </w:r>
      <w:r>
        <w:rPr>
          <w:i/>
          <w:sz w:val="24"/>
        </w:rPr>
        <w:t>aliments pour bébés</w:t>
      </w:r>
      <w:r>
        <w:rPr>
          <w:i/>
          <w:spacing w:val="-1"/>
          <w:sz w:val="24"/>
        </w:rPr>
        <w:t> </w:t>
      </w:r>
      <w:r>
        <w:rPr>
          <w:i/>
          <w:sz w:val="24"/>
        </w:rPr>
        <w:t>; produits pour la destruction des animaux nuisibles ; fongicides ; culottes hygiéniques ; serviettes hygiéniques ; parasiticides ; tisanes médicinales ; herbes médicinales </w:t>
      </w:r>
      <w:r>
        <w:rPr>
          <w:sz w:val="24"/>
        </w:rPr>
        <w:t>».</w:t>
      </w:r>
    </w:p>
    <w:p>
      <w:pPr>
        <w:pStyle w:val="BodyText"/>
      </w:pPr>
    </w:p>
    <w:p>
      <w:pPr>
        <w:pStyle w:val="BodyText"/>
        <w:ind w:left="3" w:right="164"/>
        <w:jc w:val="both"/>
      </w:pPr>
      <w:r>
        <w:rPr/>
        <w:t>Dès lors, il ne saurait être exclu que le public concerné puisse établir un lien entre les signes en cause pour les produits de la demande d’enregistrement contestée précités.</w:t>
      </w:r>
    </w:p>
    <w:p>
      <w:pPr>
        <w:pStyle w:val="BodyText"/>
      </w:pPr>
    </w:p>
    <w:p>
      <w:pPr>
        <w:pStyle w:val="BodyText"/>
      </w:pPr>
    </w:p>
    <w:p>
      <w:pPr>
        <w:pStyle w:val="BodyText"/>
      </w:pPr>
    </w:p>
    <w:p>
      <w:pPr>
        <w:pStyle w:val="BodyText"/>
        <w:spacing w:before="126"/>
      </w:pPr>
    </w:p>
    <w:p>
      <w:pPr>
        <w:pStyle w:val="Heading1"/>
      </w:pPr>
      <w:r>
        <w:rPr/>
        <w:t>Sur</w:t>
      </w:r>
      <w:r>
        <w:rPr>
          <w:spacing w:val="3"/>
        </w:rPr>
        <w:t> </w:t>
      </w:r>
      <w:r>
        <w:rPr/>
        <w:t>le</w:t>
      </w:r>
      <w:r>
        <w:rPr>
          <w:spacing w:val="3"/>
        </w:rPr>
        <w:t> </w:t>
      </w:r>
      <w:r>
        <w:rPr/>
        <w:t>risque</w:t>
      </w:r>
      <w:r>
        <w:rPr>
          <w:spacing w:val="3"/>
        </w:rPr>
        <w:t> </w:t>
      </w:r>
      <w:r>
        <w:rPr/>
        <w:t>de </w:t>
      </w:r>
      <w:r>
        <w:rPr>
          <w:spacing w:val="-2"/>
        </w:rPr>
        <w:t>préjudice</w:t>
      </w:r>
    </w:p>
    <w:p>
      <w:pPr>
        <w:pStyle w:val="BodyText"/>
        <w:spacing w:before="22"/>
        <w:rPr>
          <w:rFonts w:ascii="Cambria"/>
          <w:b/>
        </w:rPr>
      </w:pPr>
    </w:p>
    <w:p>
      <w:pPr>
        <w:pStyle w:val="BodyText"/>
        <w:ind w:left="3" w:right="208"/>
        <w:jc w:val="both"/>
      </w:pPr>
      <w:r>
        <w:rPr/>
        <w:t>Il existe un risque de préjudice lorsque l’usage de la demande d’enregistrement contestée pourrait tirer indûment profit du caractère distinctif ou de la renommée de la marque antérieure, pourrait porter préjudice à la renommée de la marque antérieure ou porter préjudice à son caractère distinctif.</w:t>
      </w:r>
    </w:p>
    <w:p>
      <w:pPr>
        <w:pStyle w:val="BodyText"/>
      </w:pPr>
    </w:p>
    <w:p>
      <w:pPr>
        <w:pStyle w:val="BodyText"/>
        <w:ind w:left="3" w:right="210"/>
        <w:jc w:val="both"/>
      </w:pPr>
      <w:r>
        <w:rPr/>
        <w:t>Il appartient à la société opposante d’établir que le préjudice ou le profit indu est probable en ce sens qu’il est prévisible dans des circonstances normales.</w:t>
      </w:r>
    </w:p>
    <w:p>
      <w:pPr>
        <w:pStyle w:val="BodyText"/>
      </w:pPr>
    </w:p>
    <w:p>
      <w:pPr>
        <w:spacing w:before="0"/>
        <w:ind w:left="3" w:right="206" w:firstLine="0"/>
        <w:jc w:val="both"/>
        <w:rPr>
          <w:sz w:val="24"/>
        </w:rPr>
      </w:pPr>
      <w:r>
        <w:rPr>
          <w:sz w:val="24"/>
        </w:rPr>
        <w:t>La société opposante soutient que « </w:t>
      </w:r>
      <w:r>
        <w:rPr>
          <w:i/>
          <w:sz w:val="24"/>
        </w:rPr>
        <w:t>La marque antérieure JOY est connue pour ses produits de parfumerie de haute qualité et des investissements importants ont été réalisés sur</w:t>
      </w:r>
      <w:r>
        <w:rPr>
          <w:i/>
          <w:spacing w:val="40"/>
          <w:sz w:val="24"/>
        </w:rPr>
        <w:t> </w:t>
      </w:r>
      <w:r>
        <w:rPr>
          <w:i/>
          <w:sz w:val="24"/>
        </w:rPr>
        <w:t>plusieurs décennies afin de créer et de maintenir son image distincte auprès des consommateurs. </w:t>
      </w:r>
      <w:r>
        <w:rPr>
          <w:sz w:val="24"/>
        </w:rPr>
        <w:t>».</w:t>
      </w:r>
    </w:p>
    <w:p>
      <w:pPr>
        <w:pStyle w:val="BodyText"/>
      </w:pPr>
    </w:p>
    <w:p>
      <w:pPr>
        <w:spacing w:before="0"/>
        <w:ind w:left="3" w:right="138" w:firstLine="0"/>
        <w:jc w:val="both"/>
        <w:rPr>
          <w:i/>
          <w:sz w:val="24"/>
        </w:rPr>
      </w:pPr>
      <w:r>
        <w:rPr>
          <w:sz w:val="24"/>
        </w:rPr>
        <w:t>Elle ajoute qu’« </w:t>
      </w:r>
      <w:r>
        <w:rPr>
          <w:i/>
          <w:sz w:val="24"/>
        </w:rPr>
        <w:t>il existe un risque élevé que l'image et la réputation de la marque antérieure JOY soient transférées à la demande de marque opposée JOYLIFE n°5055299, avec pour conséquence que la distribution des produits commercialisés sous la demande de marque opposée soit facilitée par son association avec la marque antérieure renommée </w:t>
      </w:r>
      <w:r>
        <w:rPr>
          <w:sz w:val="24"/>
        </w:rPr>
        <w:t>» et que </w:t>
      </w:r>
      <w:r>
        <w:rPr>
          <w:i/>
          <w:sz w:val="24"/>
        </w:rPr>
        <w:t>«</w:t>
      </w:r>
      <w:r>
        <w:rPr>
          <w:i/>
          <w:spacing w:val="-3"/>
          <w:sz w:val="24"/>
        </w:rPr>
        <w:t> </w:t>
      </w:r>
      <w:r>
        <w:rPr>
          <w:i/>
          <w:sz w:val="24"/>
        </w:rPr>
        <w:t>le Déposant tirerait profit de la similitude entre les signes et utiliserait la renommée de la marque antérieure pour susciter l'intérêt pour ses propres produits, économisant ainsi considérablement</w:t>
      </w:r>
      <w:r>
        <w:rPr>
          <w:i/>
          <w:spacing w:val="61"/>
          <w:sz w:val="24"/>
        </w:rPr>
        <w:t> </w:t>
      </w:r>
      <w:r>
        <w:rPr>
          <w:i/>
          <w:sz w:val="24"/>
        </w:rPr>
        <w:t>les</w:t>
      </w:r>
      <w:r>
        <w:rPr>
          <w:i/>
          <w:spacing w:val="62"/>
          <w:sz w:val="24"/>
        </w:rPr>
        <w:t> </w:t>
      </w:r>
      <w:r>
        <w:rPr>
          <w:i/>
          <w:sz w:val="24"/>
        </w:rPr>
        <w:t>dépenses</w:t>
      </w:r>
      <w:r>
        <w:rPr>
          <w:i/>
          <w:spacing w:val="61"/>
          <w:sz w:val="24"/>
        </w:rPr>
        <w:t> </w:t>
      </w:r>
      <w:r>
        <w:rPr>
          <w:i/>
          <w:sz w:val="24"/>
        </w:rPr>
        <w:t>nécessaires</w:t>
      </w:r>
      <w:r>
        <w:rPr>
          <w:i/>
          <w:spacing w:val="61"/>
          <w:sz w:val="24"/>
        </w:rPr>
        <w:t> </w:t>
      </w:r>
      <w:r>
        <w:rPr>
          <w:i/>
          <w:sz w:val="24"/>
        </w:rPr>
        <w:t>pour</w:t>
      </w:r>
      <w:r>
        <w:rPr>
          <w:i/>
          <w:spacing w:val="61"/>
          <w:sz w:val="24"/>
        </w:rPr>
        <w:t> </w:t>
      </w:r>
      <w:r>
        <w:rPr>
          <w:i/>
          <w:sz w:val="24"/>
        </w:rPr>
        <w:t>promouvoir</w:t>
      </w:r>
      <w:r>
        <w:rPr>
          <w:i/>
          <w:spacing w:val="61"/>
          <w:sz w:val="24"/>
        </w:rPr>
        <w:t> </w:t>
      </w:r>
      <w:r>
        <w:rPr>
          <w:i/>
          <w:sz w:val="24"/>
        </w:rPr>
        <w:t>et</w:t>
      </w:r>
      <w:r>
        <w:rPr>
          <w:i/>
          <w:spacing w:val="40"/>
          <w:sz w:val="24"/>
        </w:rPr>
        <w:t> </w:t>
      </w:r>
      <w:r>
        <w:rPr>
          <w:i/>
          <w:sz w:val="24"/>
        </w:rPr>
        <w:t>faire</w:t>
      </w:r>
      <w:r>
        <w:rPr>
          <w:i/>
          <w:spacing w:val="61"/>
          <w:sz w:val="24"/>
        </w:rPr>
        <w:t> </w:t>
      </w:r>
      <w:r>
        <w:rPr>
          <w:i/>
          <w:sz w:val="24"/>
        </w:rPr>
        <w:t>la</w:t>
      </w:r>
      <w:r>
        <w:rPr>
          <w:i/>
          <w:spacing w:val="60"/>
          <w:sz w:val="24"/>
        </w:rPr>
        <w:t> </w:t>
      </w:r>
      <w:r>
        <w:rPr>
          <w:i/>
          <w:sz w:val="24"/>
        </w:rPr>
        <w:t>publicité</w:t>
      </w:r>
      <w:r>
        <w:rPr>
          <w:i/>
          <w:spacing w:val="61"/>
          <w:sz w:val="24"/>
        </w:rPr>
        <w:t> </w:t>
      </w:r>
      <w:r>
        <w:rPr>
          <w:i/>
          <w:sz w:val="24"/>
        </w:rPr>
        <w:t>de</w:t>
      </w:r>
      <w:r>
        <w:rPr>
          <w:i/>
          <w:spacing w:val="40"/>
          <w:sz w:val="24"/>
        </w:rPr>
        <w:t> </w:t>
      </w:r>
      <w:r>
        <w:rPr>
          <w:i/>
          <w:sz w:val="24"/>
        </w:rPr>
        <w:t>ses</w:t>
      </w:r>
    </w:p>
    <w:p>
      <w:pPr>
        <w:spacing w:after="0"/>
        <w:jc w:val="both"/>
        <w:rPr>
          <w:i/>
          <w:sz w:val="24"/>
        </w:rPr>
        <w:sectPr>
          <w:pgSz w:w="11910" w:h="16840"/>
          <w:pgMar w:header="0" w:footer="840" w:top="1900" w:bottom="1040" w:left="1417" w:right="1275"/>
        </w:sectPr>
      </w:pPr>
    </w:p>
    <w:p>
      <w:pPr>
        <w:spacing w:before="68"/>
        <w:ind w:left="3" w:right="150" w:firstLine="0"/>
        <w:jc w:val="both"/>
        <w:rPr>
          <w:sz w:val="24"/>
        </w:rPr>
      </w:pPr>
      <w:r>
        <w:rPr>
          <w:i/>
          <w:sz w:val="24"/>
        </w:rPr>
        <w:t>propres produits auprès des consommateurs, puisque le Déposant pourrait ainsi profiter des dépenses déjà engagées par l'Opposante pour promouvoir sa marque renommée.</w:t>
      </w:r>
      <w:r>
        <w:rPr>
          <w:sz w:val="24"/>
        </w:rPr>
        <w:t>».</w:t>
      </w:r>
    </w:p>
    <w:p>
      <w:pPr>
        <w:pStyle w:val="BodyText"/>
      </w:pPr>
    </w:p>
    <w:p>
      <w:pPr>
        <w:spacing w:before="0"/>
        <w:ind w:left="3" w:right="147" w:firstLine="0"/>
        <w:jc w:val="both"/>
        <w:rPr>
          <w:sz w:val="24"/>
        </w:rPr>
      </w:pPr>
      <w:r>
        <w:rPr>
          <w:sz w:val="24"/>
        </w:rPr>
        <w:t>Elle conclut qu’il en résulterait alors « </w:t>
      </w:r>
      <w:r>
        <w:rPr>
          <w:i/>
          <w:sz w:val="24"/>
        </w:rPr>
        <w:t>un avantage indu, dans la mesure où les fruits de l'investissement qui a été supporté pour la promotion, le maintien et la valorisation de la marque JOY doivent revenir au seul titulaire de cette marque antérieure </w:t>
      </w:r>
      <w:r>
        <w:rPr>
          <w:sz w:val="24"/>
        </w:rPr>
        <w:t>».</w:t>
      </w:r>
    </w:p>
    <w:p>
      <w:pPr>
        <w:pStyle w:val="BodyText"/>
      </w:pPr>
    </w:p>
    <w:p>
      <w:pPr>
        <w:pStyle w:val="BodyText"/>
        <w:ind w:left="3" w:right="142"/>
        <w:jc w:val="both"/>
      </w:pPr>
      <w:r>
        <w:rPr/>
        <w:t>La notion de profit indu englobe les cas où il y a exploitation et « parasitisme » manifestes d’une marque célèbre ou une tentative de tirer profit de sa réputation. En d’autres termes, il s’agit</w:t>
      </w:r>
      <w:r>
        <w:rPr>
          <w:spacing w:val="-1"/>
        </w:rPr>
        <w:t> </w:t>
      </w:r>
      <w:r>
        <w:rPr/>
        <w:t>du</w:t>
      </w:r>
      <w:r>
        <w:rPr>
          <w:spacing w:val="-2"/>
        </w:rPr>
        <w:t> </w:t>
      </w:r>
      <w:r>
        <w:rPr/>
        <w:t>risque</w:t>
      </w:r>
      <w:r>
        <w:rPr>
          <w:spacing w:val="-2"/>
        </w:rPr>
        <w:t> </w:t>
      </w:r>
      <w:r>
        <w:rPr/>
        <w:t>que</w:t>
      </w:r>
      <w:r>
        <w:rPr>
          <w:spacing w:val="-2"/>
        </w:rPr>
        <w:t> </w:t>
      </w:r>
      <w:r>
        <w:rPr/>
        <w:t>l’image de</w:t>
      </w:r>
      <w:r>
        <w:rPr>
          <w:spacing w:val="-2"/>
        </w:rPr>
        <w:t> </w:t>
      </w:r>
      <w:r>
        <w:rPr/>
        <w:t>la</w:t>
      </w:r>
      <w:r>
        <w:rPr>
          <w:spacing w:val="-1"/>
        </w:rPr>
        <w:t> </w:t>
      </w:r>
      <w:r>
        <w:rPr/>
        <w:t>marque</w:t>
      </w:r>
      <w:r>
        <w:rPr>
          <w:spacing w:val="-1"/>
        </w:rPr>
        <w:t> </w:t>
      </w:r>
      <w:r>
        <w:rPr/>
        <w:t>renommée</w:t>
      </w:r>
      <w:r>
        <w:rPr>
          <w:spacing w:val="-1"/>
        </w:rPr>
        <w:t> </w:t>
      </w:r>
      <w:r>
        <w:rPr/>
        <w:t>ou</w:t>
      </w:r>
      <w:r>
        <w:rPr>
          <w:spacing w:val="-2"/>
        </w:rPr>
        <w:t> </w:t>
      </w:r>
      <w:r>
        <w:rPr/>
        <w:t>les</w:t>
      </w:r>
      <w:r>
        <w:rPr>
          <w:spacing w:val="-1"/>
        </w:rPr>
        <w:t> </w:t>
      </w:r>
      <w:r>
        <w:rPr/>
        <w:t>caractéristiques projetées par cette dernière soient transférées aux produits désignés par la marque contestée, de sorte que leur commercialisation serait facilitée par cette association avec la marque antérieure renommée.</w:t>
      </w:r>
    </w:p>
    <w:p>
      <w:pPr>
        <w:pStyle w:val="BodyText"/>
      </w:pPr>
    </w:p>
    <w:p>
      <w:pPr>
        <w:pStyle w:val="BodyText"/>
        <w:ind w:left="3" w:right="148"/>
        <w:jc w:val="both"/>
      </w:pPr>
      <w:r>
        <w:rPr/>
        <w:t>En l’espèce, la marque antérieure JOY présente un caractère distinctif intrinsèque. La société opposante a par ailleurs démontré que cette marque, en raison de son usage intensif et des investissements réalisés, a acquis une renommée importante. Les signes sont similaires et les marques sont susceptibles de s’adresser à un même public, à savoir le grand public.</w:t>
      </w:r>
    </w:p>
    <w:p>
      <w:pPr>
        <w:pStyle w:val="BodyText"/>
      </w:pPr>
    </w:p>
    <w:p>
      <w:pPr>
        <w:spacing w:before="0"/>
        <w:ind w:left="3" w:right="147" w:firstLine="0"/>
        <w:jc w:val="both"/>
        <w:rPr>
          <w:sz w:val="24"/>
        </w:rPr>
      </w:pPr>
      <w:r>
        <w:rPr>
          <w:sz w:val="24"/>
        </w:rPr>
        <w:t>Il existe donc un risque que les consommateurs établissent une association entre les marques en</w:t>
      </w:r>
      <w:r>
        <w:rPr>
          <w:spacing w:val="40"/>
          <w:sz w:val="24"/>
        </w:rPr>
        <w:t> </w:t>
      </w:r>
      <w:r>
        <w:rPr>
          <w:sz w:val="24"/>
        </w:rPr>
        <w:t>conflit</w:t>
      </w:r>
      <w:r>
        <w:rPr>
          <w:spacing w:val="40"/>
          <w:sz w:val="24"/>
        </w:rPr>
        <w:t> </w:t>
      </w:r>
      <w:r>
        <w:rPr>
          <w:sz w:val="24"/>
        </w:rPr>
        <w:t>pour</w:t>
      </w:r>
      <w:r>
        <w:rPr>
          <w:spacing w:val="40"/>
          <w:sz w:val="24"/>
        </w:rPr>
        <w:t> </w:t>
      </w:r>
      <w:r>
        <w:rPr>
          <w:sz w:val="24"/>
        </w:rPr>
        <w:t>les</w:t>
      </w:r>
      <w:r>
        <w:rPr>
          <w:spacing w:val="40"/>
          <w:sz w:val="24"/>
        </w:rPr>
        <w:t> </w:t>
      </w:r>
      <w:r>
        <w:rPr>
          <w:sz w:val="24"/>
        </w:rPr>
        <w:t>«</w:t>
      </w:r>
      <w:r>
        <w:rPr>
          <w:spacing w:val="-2"/>
          <w:sz w:val="24"/>
        </w:rPr>
        <w:t> </w:t>
      </w:r>
      <w:r>
        <w:rPr>
          <w:i/>
          <w:sz w:val="24"/>
        </w:rPr>
        <w:t>aliments</w:t>
      </w:r>
      <w:r>
        <w:rPr>
          <w:i/>
          <w:spacing w:val="40"/>
          <w:sz w:val="24"/>
        </w:rPr>
        <w:t> </w:t>
      </w:r>
      <w:r>
        <w:rPr>
          <w:i/>
          <w:sz w:val="24"/>
        </w:rPr>
        <w:t>pour</w:t>
      </w:r>
      <w:r>
        <w:rPr>
          <w:i/>
          <w:spacing w:val="40"/>
          <w:sz w:val="24"/>
        </w:rPr>
        <w:t> </w:t>
      </w:r>
      <w:r>
        <w:rPr>
          <w:i/>
          <w:sz w:val="24"/>
        </w:rPr>
        <w:t>bébés ;</w:t>
      </w:r>
      <w:r>
        <w:rPr>
          <w:i/>
          <w:spacing w:val="40"/>
          <w:sz w:val="24"/>
        </w:rPr>
        <w:t> </w:t>
      </w:r>
      <w:r>
        <w:rPr>
          <w:i/>
          <w:sz w:val="24"/>
        </w:rPr>
        <w:t>produits</w:t>
      </w:r>
      <w:r>
        <w:rPr>
          <w:i/>
          <w:spacing w:val="40"/>
          <w:sz w:val="24"/>
        </w:rPr>
        <w:t> </w:t>
      </w:r>
      <w:r>
        <w:rPr>
          <w:i/>
          <w:sz w:val="24"/>
        </w:rPr>
        <w:t>pour</w:t>
      </w:r>
      <w:r>
        <w:rPr>
          <w:i/>
          <w:spacing w:val="40"/>
          <w:sz w:val="24"/>
        </w:rPr>
        <w:t> </w:t>
      </w:r>
      <w:r>
        <w:rPr>
          <w:i/>
          <w:sz w:val="24"/>
        </w:rPr>
        <w:t>la</w:t>
      </w:r>
      <w:r>
        <w:rPr>
          <w:i/>
          <w:spacing w:val="40"/>
          <w:sz w:val="24"/>
        </w:rPr>
        <w:t> </w:t>
      </w:r>
      <w:r>
        <w:rPr>
          <w:i/>
          <w:sz w:val="24"/>
        </w:rPr>
        <w:t>destruction</w:t>
      </w:r>
      <w:r>
        <w:rPr>
          <w:i/>
          <w:spacing w:val="40"/>
          <w:sz w:val="24"/>
        </w:rPr>
        <w:t> </w:t>
      </w:r>
      <w:r>
        <w:rPr>
          <w:i/>
          <w:sz w:val="24"/>
        </w:rPr>
        <w:t>des</w:t>
      </w:r>
      <w:r>
        <w:rPr>
          <w:i/>
          <w:spacing w:val="40"/>
          <w:sz w:val="24"/>
        </w:rPr>
        <w:t> </w:t>
      </w:r>
      <w:r>
        <w:rPr>
          <w:i/>
          <w:sz w:val="24"/>
        </w:rPr>
        <w:t>animaux nuisibles ; fongicides ; culottes hygiéniques ; serviettes hygiéniques ; parasiticides ; tisanes médicinales ; herbes médicinales </w:t>
      </w:r>
      <w:r>
        <w:rPr>
          <w:sz w:val="24"/>
        </w:rPr>
        <w:t>» de la demande d’enregistrement contestée.</w:t>
      </w:r>
    </w:p>
    <w:p>
      <w:pPr>
        <w:pStyle w:val="BodyText"/>
      </w:pPr>
    </w:p>
    <w:p>
      <w:pPr>
        <w:pStyle w:val="BodyText"/>
        <w:ind w:left="3" w:right="206"/>
        <w:jc w:val="both"/>
      </w:pPr>
      <w:r>
        <w:rPr/>
        <w:t>Aussi</w:t>
      </w:r>
      <w:r>
        <w:rPr>
          <w:spacing w:val="-1"/>
        </w:rPr>
        <w:t> </w:t>
      </w:r>
      <w:r>
        <w:rPr/>
        <w:t>l’usage</w:t>
      </w:r>
      <w:r>
        <w:rPr>
          <w:spacing w:val="-2"/>
        </w:rPr>
        <w:t> </w:t>
      </w:r>
      <w:r>
        <w:rPr/>
        <w:t>de</w:t>
      </w:r>
      <w:r>
        <w:rPr>
          <w:spacing w:val="-2"/>
        </w:rPr>
        <w:t> </w:t>
      </w:r>
      <w:r>
        <w:rPr/>
        <w:t>la</w:t>
      </w:r>
      <w:r>
        <w:rPr>
          <w:spacing w:val="-1"/>
        </w:rPr>
        <w:t> </w:t>
      </w:r>
      <w:r>
        <w:rPr/>
        <w:t>demande contestée conduirait le</w:t>
      </w:r>
      <w:r>
        <w:rPr>
          <w:spacing w:val="-2"/>
        </w:rPr>
        <w:t> </w:t>
      </w:r>
      <w:r>
        <w:rPr/>
        <w:t>déposant</w:t>
      </w:r>
      <w:r>
        <w:rPr>
          <w:spacing w:val="-1"/>
        </w:rPr>
        <w:t> </w:t>
      </w:r>
      <w:r>
        <w:rPr/>
        <w:t>à</w:t>
      </w:r>
      <w:r>
        <w:rPr>
          <w:spacing w:val="-2"/>
        </w:rPr>
        <w:t> </w:t>
      </w:r>
      <w:r>
        <w:rPr/>
        <w:t>tirer profit</w:t>
      </w:r>
      <w:r>
        <w:rPr>
          <w:spacing w:val="-1"/>
        </w:rPr>
        <w:t> </w:t>
      </w:r>
      <w:r>
        <w:rPr/>
        <w:t>de</w:t>
      </w:r>
      <w:r>
        <w:rPr>
          <w:spacing w:val="-2"/>
        </w:rPr>
        <w:t> </w:t>
      </w:r>
      <w:r>
        <w:rPr/>
        <w:t>la</w:t>
      </w:r>
      <w:r>
        <w:rPr>
          <w:spacing w:val="-1"/>
        </w:rPr>
        <w:t> </w:t>
      </w:r>
      <w:r>
        <w:rPr/>
        <w:t>renommée de la marque antérieure invoquée, notamment en lui permettant d’amoindrir la nécessité d'investir dans la publicité et de bénéficier des efforts et de la réputation de la société opposante sur ce marché.</w:t>
      </w:r>
    </w:p>
    <w:p>
      <w:pPr>
        <w:pStyle w:val="BodyText"/>
      </w:pPr>
    </w:p>
    <w:p>
      <w:pPr>
        <w:pStyle w:val="BodyText"/>
        <w:spacing w:before="1"/>
        <w:ind w:left="3" w:right="207"/>
        <w:jc w:val="both"/>
      </w:pPr>
      <w:r>
        <w:rPr/>
        <w:t>Les consommateurs pourraient décider de se tourner vers les produits en question en croyant que la demande d’enregistrement contestée est liée à la marque de renommée de la société opposante, détournant ainsi son pouvoir attractif et sa valeur publicitaire.</w:t>
      </w:r>
    </w:p>
    <w:p>
      <w:pPr>
        <w:pStyle w:val="BodyText"/>
        <w:spacing w:before="276"/>
        <w:ind w:left="3" w:right="208"/>
        <w:jc w:val="both"/>
      </w:pPr>
      <w:r>
        <w:rPr/>
        <w:t>L’usage de la demande d’enregistrement contestée JOYLIFE est donc susceptible de tirer indûment profit du caractère distinctif ou de la renommée de la marque antérieure JOY s’agissant des produits précités.</w:t>
      </w:r>
    </w:p>
    <w:p>
      <w:pPr>
        <w:pStyle w:val="BodyText"/>
      </w:pPr>
    </w:p>
    <w:p>
      <w:pPr>
        <w:pStyle w:val="BodyText"/>
      </w:pPr>
    </w:p>
    <w:p>
      <w:pPr>
        <w:pStyle w:val="BodyText"/>
        <w:spacing w:before="20"/>
      </w:pPr>
    </w:p>
    <w:p>
      <w:pPr>
        <w:spacing w:before="0"/>
        <w:ind w:left="3" w:right="0" w:firstLine="0"/>
        <w:jc w:val="left"/>
        <w:rPr>
          <w:rFonts w:ascii="Cambria"/>
          <w:b/>
          <w:sz w:val="24"/>
        </w:rPr>
      </w:pPr>
      <w:r>
        <w:rPr>
          <w:rFonts w:ascii="Cambria"/>
          <w:b/>
          <w:spacing w:val="-2"/>
          <w:w w:val="105"/>
          <w:sz w:val="24"/>
        </w:rPr>
        <w:t>CONCLUSION</w:t>
      </w:r>
    </w:p>
    <w:p>
      <w:pPr>
        <w:pStyle w:val="BodyText"/>
        <w:spacing w:before="21"/>
        <w:rPr>
          <w:rFonts w:ascii="Cambria"/>
          <w:b/>
        </w:rPr>
      </w:pPr>
    </w:p>
    <w:p>
      <w:pPr>
        <w:spacing w:before="0"/>
        <w:ind w:left="3" w:right="97" w:firstLine="0"/>
        <w:jc w:val="both"/>
        <w:rPr>
          <w:i/>
          <w:sz w:val="24"/>
        </w:rPr>
      </w:pPr>
      <w:r>
        <w:rPr>
          <w:sz w:val="24"/>
        </w:rPr>
        <w:t>En conséquence, le signe verbal JOYLIFE ne peut pas être adopté comme marque pour désigner des « </w:t>
      </w:r>
      <w:r>
        <w:rPr>
          <w:i/>
          <w:sz w:val="24"/>
        </w:rPr>
        <w:t>Lessives ; préparations pour polir ; préparations pour dégraisser ; préparations pour abraser ;</w:t>
      </w:r>
      <w:r>
        <w:rPr>
          <w:i/>
          <w:spacing w:val="-2"/>
          <w:sz w:val="24"/>
        </w:rPr>
        <w:t> </w:t>
      </w:r>
      <w:r>
        <w:rPr>
          <w:i/>
          <w:sz w:val="24"/>
        </w:rPr>
        <w:t>savons</w:t>
      </w:r>
      <w:r>
        <w:rPr>
          <w:i/>
          <w:spacing w:val="-1"/>
          <w:sz w:val="24"/>
        </w:rPr>
        <w:t> </w:t>
      </w:r>
      <w:r>
        <w:rPr>
          <w:i/>
          <w:sz w:val="24"/>
        </w:rPr>
        <w:t>; parfums ;</w:t>
      </w:r>
      <w:r>
        <w:rPr>
          <w:i/>
          <w:spacing w:val="-2"/>
          <w:sz w:val="24"/>
        </w:rPr>
        <w:t> </w:t>
      </w:r>
      <w:r>
        <w:rPr>
          <w:i/>
          <w:sz w:val="24"/>
        </w:rPr>
        <w:t>huiles essentielles ;</w:t>
      </w:r>
      <w:r>
        <w:rPr>
          <w:i/>
          <w:spacing w:val="-2"/>
          <w:sz w:val="24"/>
        </w:rPr>
        <w:t> </w:t>
      </w:r>
      <w:r>
        <w:rPr>
          <w:i/>
          <w:sz w:val="24"/>
        </w:rPr>
        <w:t>cosmétiques ; lotions pour les cheveux ; dentifrices ; dépilatoires ; produits de démaquillage ; rouge à lèvres ; masques de beauté ; produits de rasage ; produits pour la conservation du cuir (cirages) ; crèmes pour le cuir ; savons désinfectants ; savons médicinaux ; shampooings médicamenteux ; dentifrices médicamenteux</w:t>
      </w:r>
      <w:r>
        <w:rPr>
          <w:i/>
          <w:spacing w:val="-1"/>
          <w:sz w:val="24"/>
        </w:rPr>
        <w:t> </w:t>
      </w:r>
      <w:r>
        <w:rPr>
          <w:i/>
          <w:sz w:val="24"/>
        </w:rPr>
        <w:t>;</w:t>
      </w:r>
      <w:r>
        <w:rPr>
          <w:i/>
          <w:spacing w:val="-3"/>
          <w:sz w:val="24"/>
        </w:rPr>
        <w:t> </w:t>
      </w:r>
      <w:r>
        <w:rPr>
          <w:i/>
          <w:sz w:val="24"/>
        </w:rPr>
        <w:t>aliments</w:t>
      </w:r>
      <w:r>
        <w:rPr>
          <w:i/>
          <w:spacing w:val="-2"/>
          <w:sz w:val="24"/>
        </w:rPr>
        <w:t> </w:t>
      </w:r>
      <w:r>
        <w:rPr>
          <w:i/>
          <w:sz w:val="24"/>
        </w:rPr>
        <w:t>pour</w:t>
      </w:r>
      <w:r>
        <w:rPr>
          <w:i/>
          <w:spacing w:val="-2"/>
          <w:sz w:val="24"/>
        </w:rPr>
        <w:t> </w:t>
      </w:r>
      <w:r>
        <w:rPr>
          <w:i/>
          <w:sz w:val="24"/>
        </w:rPr>
        <w:t>bébés</w:t>
      </w:r>
      <w:r>
        <w:rPr>
          <w:i/>
          <w:spacing w:val="-2"/>
          <w:sz w:val="24"/>
        </w:rPr>
        <w:t> </w:t>
      </w:r>
      <w:r>
        <w:rPr>
          <w:i/>
          <w:sz w:val="24"/>
        </w:rPr>
        <w:t>;</w:t>
      </w:r>
      <w:r>
        <w:rPr>
          <w:i/>
          <w:spacing w:val="-3"/>
          <w:sz w:val="24"/>
        </w:rPr>
        <w:t> </w:t>
      </w:r>
      <w:r>
        <w:rPr>
          <w:i/>
          <w:sz w:val="24"/>
        </w:rPr>
        <w:t>compléments</w:t>
      </w:r>
      <w:r>
        <w:rPr>
          <w:i/>
          <w:spacing w:val="-1"/>
          <w:sz w:val="24"/>
        </w:rPr>
        <w:t> </w:t>
      </w:r>
      <w:r>
        <w:rPr>
          <w:i/>
          <w:sz w:val="24"/>
        </w:rPr>
        <w:t>alimentaires ;</w:t>
      </w:r>
      <w:r>
        <w:rPr>
          <w:i/>
          <w:spacing w:val="-3"/>
          <w:sz w:val="24"/>
        </w:rPr>
        <w:t> </w:t>
      </w:r>
      <w:r>
        <w:rPr>
          <w:i/>
          <w:sz w:val="24"/>
        </w:rPr>
        <w:t>articles pour</w:t>
      </w:r>
      <w:r>
        <w:rPr>
          <w:i/>
          <w:spacing w:val="-2"/>
          <w:sz w:val="24"/>
        </w:rPr>
        <w:t> </w:t>
      </w:r>
      <w:r>
        <w:rPr>
          <w:i/>
          <w:sz w:val="24"/>
        </w:rPr>
        <w:t>pansements</w:t>
      </w:r>
      <w:r>
        <w:rPr>
          <w:i/>
          <w:spacing w:val="-2"/>
          <w:sz w:val="24"/>
        </w:rPr>
        <w:t> </w:t>
      </w:r>
      <w:r>
        <w:rPr>
          <w:i/>
          <w:sz w:val="24"/>
        </w:rPr>
        <w:t>; désinfectants ; produits antibactériens pour le lavage des mains ; produits pour la destruction</w:t>
      </w:r>
    </w:p>
    <w:p>
      <w:pPr>
        <w:spacing w:after="0"/>
        <w:jc w:val="both"/>
        <w:rPr>
          <w:i/>
          <w:sz w:val="24"/>
        </w:rPr>
        <w:sectPr>
          <w:pgSz w:w="11910" w:h="16840"/>
          <w:pgMar w:header="0" w:footer="840" w:top="1900" w:bottom="1040" w:left="1417" w:right="1275"/>
        </w:sectPr>
      </w:pPr>
    </w:p>
    <w:p>
      <w:pPr>
        <w:spacing w:before="68"/>
        <w:ind w:left="3" w:right="101" w:firstLine="0"/>
        <w:jc w:val="both"/>
        <w:rPr>
          <w:sz w:val="24"/>
        </w:rPr>
      </w:pPr>
      <w:r>
        <w:rPr>
          <w:i/>
          <w:sz w:val="24"/>
        </w:rPr>
        <w:t>des</w:t>
      </w:r>
      <w:r>
        <w:rPr>
          <w:i/>
          <w:spacing w:val="-4"/>
          <w:sz w:val="24"/>
        </w:rPr>
        <w:t> </w:t>
      </w:r>
      <w:r>
        <w:rPr>
          <w:i/>
          <w:sz w:val="24"/>
        </w:rPr>
        <w:t>animaux</w:t>
      </w:r>
      <w:r>
        <w:rPr>
          <w:i/>
          <w:spacing w:val="-5"/>
          <w:sz w:val="24"/>
        </w:rPr>
        <w:t> </w:t>
      </w:r>
      <w:r>
        <w:rPr>
          <w:i/>
          <w:sz w:val="24"/>
        </w:rPr>
        <w:t>nuisibles</w:t>
      </w:r>
      <w:r>
        <w:rPr>
          <w:i/>
          <w:spacing w:val="-2"/>
          <w:sz w:val="24"/>
        </w:rPr>
        <w:t> </w:t>
      </w:r>
      <w:r>
        <w:rPr>
          <w:i/>
          <w:sz w:val="24"/>
        </w:rPr>
        <w:t>;</w:t>
      </w:r>
      <w:r>
        <w:rPr>
          <w:i/>
          <w:spacing w:val="-4"/>
          <w:sz w:val="24"/>
        </w:rPr>
        <w:t> </w:t>
      </w:r>
      <w:r>
        <w:rPr>
          <w:i/>
          <w:sz w:val="24"/>
        </w:rPr>
        <w:t>fongicides</w:t>
      </w:r>
      <w:r>
        <w:rPr>
          <w:i/>
          <w:spacing w:val="-2"/>
          <w:sz w:val="24"/>
        </w:rPr>
        <w:t> </w:t>
      </w:r>
      <w:r>
        <w:rPr>
          <w:i/>
          <w:sz w:val="24"/>
        </w:rPr>
        <w:t>;</w:t>
      </w:r>
      <w:r>
        <w:rPr>
          <w:i/>
          <w:spacing w:val="-4"/>
          <w:sz w:val="24"/>
        </w:rPr>
        <w:t> </w:t>
      </w:r>
      <w:r>
        <w:rPr>
          <w:i/>
          <w:sz w:val="24"/>
        </w:rPr>
        <w:t>herbicides</w:t>
      </w:r>
      <w:r>
        <w:rPr>
          <w:i/>
          <w:spacing w:val="-2"/>
          <w:sz w:val="24"/>
        </w:rPr>
        <w:t> </w:t>
      </w:r>
      <w:r>
        <w:rPr>
          <w:i/>
          <w:sz w:val="24"/>
        </w:rPr>
        <w:t>;</w:t>
      </w:r>
      <w:r>
        <w:rPr>
          <w:i/>
          <w:spacing w:val="-4"/>
          <w:sz w:val="24"/>
        </w:rPr>
        <w:t> </w:t>
      </w:r>
      <w:r>
        <w:rPr>
          <w:i/>
          <w:sz w:val="24"/>
        </w:rPr>
        <w:t>culottes</w:t>
      </w:r>
      <w:r>
        <w:rPr>
          <w:i/>
          <w:spacing w:val="-2"/>
          <w:sz w:val="24"/>
        </w:rPr>
        <w:t> </w:t>
      </w:r>
      <w:r>
        <w:rPr>
          <w:i/>
          <w:sz w:val="24"/>
        </w:rPr>
        <w:t>hygiéniques</w:t>
      </w:r>
      <w:r>
        <w:rPr>
          <w:i/>
          <w:spacing w:val="-2"/>
          <w:sz w:val="24"/>
        </w:rPr>
        <w:t> </w:t>
      </w:r>
      <w:r>
        <w:rPr>
          <w:i/>
          <w:sz w:val="24"/>
        </w:rPr>
        <w:t>;</w:t>
      </w:r>
      <w:r>
        <w:rPr>
          <w:i/>
          <w:spacing w:val="-4"/>
          <w:sz w:val="24"/>
        </w:rPr>
        <w:t> </w:t>
      </w:r>
      <w:r>
        <w:rPr>
          <w:i/>
          <w:sz w:val="24"/>
        </w:rPr>
        <w:t>serviettes</w:t>
      </w:r>
      <w:r>
        <w:rPr>
          <w:i/>
          <w:spacing w:val="-2"/>
          <w:sz w:val="24"/>
        </w:rPr>
        <w:t> </w:t>
      </w:r>
      <w:r>
        <w:rPr>
          <w:i/>
          <w:sz w:val="24"/>
        </w:rPr>
        <w:t>hygiéniques</w:t>
      </w:r>
      <w:r>
        <w:rPr>
          <w:i/>
          <w:spacing w:val="-2"/>
          <w:sz w:val="24"/>
        </w:rPr>
        <w:t> </w:t>
      </w:r>
      <w:r>
        <w:rPr>
          <w:i/>
          <w:sz w:val="24"/>
        </w:rPr>
        <w:t>; parasiticides ; tisanes médicinales ; herbes médicinales </w:t>
      </w:r>
      <w:r>
        <w:rPr>
          <w:sz w:val="24"/>
        </w:rPr>
        <w:t>», sans porter atteinte aux droits antérieurs de la société opposante.</w:t>
      </w:r>
    </w:p>
    <w:p>
      <w:pPr>
        <w:pStyle w:val="BodyText"/>
      </w:pPr>
    </w:p>
    <w:p>
      <w:pPr>
        <w:pStyle w:val="BodyText"/>
      </w:pPr>
    </w:p>
    <w:p>
      <w:pPr>
        <w:pStyle w:val="BodyText"/>
        <w:spacing w:before="36"/>
      </w:pPr>
    </w:p>
    <w:p>
      <w:pPr>
        <w:spacing w:before="0"/>
        <w:ind w:left="3" w:right="0" w:firstLine="0"/>
        <w:jc w:val="both"/>
        <w:rPr>
          <w:rFonts w:ascii="Cambria"/>
          <w:b/>
          <w:sz w:val="24"/>
        </w:rPr>
      </w:pPr>
      <w:r>
        <w:rPr>
          <w:rFonts w:ascii="Cambria"/>
          <w:b/>
          <w:w w:val="105"/>
          <w:sz w:val="24"/>
        </w:rPr>
        <w:t>PAR</w:t>
      </w:r>
      <w:r>
        <w:rPr>
          <w:rFonts w:ascii="Cambria"/>
          <w:b/>
          <w:spacing w:val="-11"/>
          <w:w w:val="105"/>
          <w:sz w:val="24"/>
        </w:rPr>
        <w:t> </w:t>
      </w:r>
      <w:r>
        <w:rPr>
          <w:rFonts w:ascii="Cambria"/>
          <w:b/>
          <w:w w:val="105"/>
          <w:sz w:val="24"/>
        </w:rPr>
        <w:t>CES</w:t>
      </w:r>
      <w:r>
        <w:rPr>
          <w:rFonts w:ascii="Cambria"/>
          <w:b/>
          <w:spacing w:val="-12"/>
          <w:w w:val="105"/>
          <w:sz w:val="24"/>
        </w:rPr>
        <w:t> </w:t>
      </w:r>
      <w:r>
        <w:rPr>
          <w:rFonts w:ascii="Cambria"/>
          <w:b/>
          <w:spacing w:val="-2"/>
          <w:w w:val="105"/>
          <w:sz w:val="24"/>
        </w:rPr>
        <w:t>MOTIFS</w:t>
      </w:r>
    </w:p>
    <w:p>
      <w:pPr>
        <w:pStyle w:val="BodyText"/>
        <w:rPr>
          <w:rFonts w:ascii="Cambria"/>
          <w:b/>
        </w:rPr>
      </w:pPr>
    </w:p>
    <w:p>
      <w:pPr>
        <w:pStyle w:val="BodyText"/>
        <w:spacing w:before="144"/>
        <w:rPr>
          <w:rFonts w:ascii="Cambria"/>
          <w:b/>
        </w:rPr>
      </w:pPr>
    </w:p>
    <w:p>
      <w:pPr>
        <w:spacing w:before="0"/>
        <w:ind w:left="1" w:right="137" w:firstLine="0"/>
        <w:jc w:val="center"/>
        <w:rPr>
          <w:rFonts w:ascii="Cambria" w:hAnsi="Cambria"/>
          <w:b/>
          <w:sz w:val="24"/>
        </w:rPr>
      </w:pPr>
      <w:r>
        <w:rPr>
          <w:rFonts w:ascii="Cambria" w:hAnsi="Cambria"/>
          <w:b/>
          <w:spacing w:val="-2"/>
          <w:w w:val="105"/>
          <w:sz w:val="24"/>
        </w:rPr>
        <w:t>DÉCIDE</w:t>
      </w:r>
    </w:p>
    <w:p>
      <w:pPr>
        <w:pStyle w:val="BodyText"/>
        <w:rPr>
          <w:rFonts w:ascii="Cambria"/>
          <w:b/>
        </w:rPr>
      </w:pPr>
    </w:p>
    <w:p>
      <w:pPr>
        <w:pStyle w:val="BodyText"/>
        <w:rPr>
          <w:rFonts w:ascii="Cambria"/>
          <w:b/>
        </w:rPr>
      </w:pPr>
    </w:p>
    <w:p>
      <w:pPr>
        <w:pStyle w:val="BodyText"/>
        <w:spacing w:before="140"/>
        <w:rPr>
          <w:rFonts w:ascii="Cambria"/>
          <w:b/>
        </w:rPr>
      </w:pPr>
    </w:p>
    <w:p>
      <w:pPr>
        <w:pStyle w:val="BodyText"/>
        <w:ind w:left="3"/>
        <w:jc w:val="both"/>
      </w:pPr>
      <w:r>
        <w:rPr>
          <w:rFonts w:ascii="Cambria" w:hAnsi="Cambria"/>
          <w:b/>
        </w:rPr>
        <w:t>Article</w:t>
      </w:r>
      <w:r>
        <w:rPr>
          <w:rFonts w:ascii="Cambria" w:hAnsi="Cambria"/>
          <w:b/>
          <w:spacing w:val="-4"/>
        </w:rPr>
        <w:t> </w:t>
      </w:r>
      <w:r>
        <w:rPr>
          <w:rFonts w:ascii="Cambria" w:hAnsi="Cambria"/>
          <w:b/>
        </w:rPr>
        <w:t>1</w:t>
      </w:r>
      <w:r>
        <w:rPr>
          <w:rFonts w:ascii="Cambria" w:hAnsi="Cambria"/>
          <w:b/>
          <w:spacing w:val="-3"/>
        </w:rPr>
        <w:t> </w:t>
      </w:r>
      <w:r>
        <w:rPr/>
        <w:t>:</w:t>
      </w:r>
      <w:r>
        <w:rPr>
          <w:spacing w:val="54"/>
        </w:rPr>
        <w:t>   </w:t>
      </w:r>
      <w:r>
        <w:rPr/>
        <w:t>L'opposition</w:t>
      </w:r>
      <w:r>
        <w:rPr>
          <w:spacing w:val="1"/>
        </w:rPr>
        <w:t> </w:t>
      </w:r>
      <w:r>
        <w:rPr/>
        <w:t>est</w:t>
      </w:r>
      <w:r>
        <w:rPr>
          <w:spacing w:val="-1"/>
        </w:rPr>
        <w:t> </w:t>
      </w:r>
      <w:r>
        <w:rPr/>
        <w:t>reconnue</w:t>
      </w:r>
      <w:r>
        <w:rPr>
          <w:spacing w:val="2"/>
        </w:rPr>
        <w:t> </w:t>
      </w:r>
      <w:r>
        <w:rPr>
          <w:spacing w:val="-2"/>
        </w:rPr>
        <w:t>justifiée.</w:t>
      </w:r>
    </w:p>
    <w:p>
      <w:pPr>
        <w:pStyle w:val="BodyText"/>
        <w:spacing w:before="49"/>
      </w:pPr>
    </w:p>
    <w:p>
      <w:pPr>
        <w:pStyle w:val="BodyText"/>
        <w:ind w:left="3"/>
        <w:jc w:val="both"/>
      </w:pPr>
      <w:r>
        <w:rPr>
          <w:rFonts w:ascii="Cambria" w:hAnsi="Cambria"/>
          <w:b/>
        </w:rPr>
        <w:t>Article</w:t>
      </w:r>
      <w:r>
        <w:rPr>
          <w:rFonts w:ascii="Cambria" w:hAnsi="Cambria"/>
          <w:b/>
          <w:spacing w:val="-5"/>
        </w:rPr>
        <w:t> </w:t>
      </w:r>
      <w:r>
        <w:rPr>
          <w:rFonts w:ascii="Cambria" w:hAnsi="Cambria"/>
          <w:b/>
        </w:rPr>
        <w:t>2</w:t>
      </w:r>
      <w:r>
        <w:rPr>
          <w:rFonts w:ascii="Cambria" w:hAnsi="Cambria"/>
          <w:b/>
          <w:spacing w:val="-3"/>
        </w:rPr>
        <w:t> </w:t>
      </w:r>
      <w:r>
        <w:rPr/>
        <w:t>:</w:t>
      </w:r>
      <w:r>
        <w:rPr>
          <w:spacing w:val="79"/>
          <w:w w:val="150"/>
        </w:rPr>
        <w:t>  </w:t>
      </w:r>
      <w:r>
        <w:rPr/>
        <w:t>La</w:t>
      </w:r>
      <w:r>
        <w:rPr>
          <w:spacing w:val="1"/>
        </w:rPr>
        <w:t> </w:t>
      </w:r>
      <w:r>
        <w:rPr/>
        <w:t>demande d'enregistrement</w:t>
      </w:r>
      <w:r>
        <w:rPr>
          <w:spacing w:val="3"/>
        </w:rPr>
        <w:t> </w:t>
      </w:r>
      <w:r>
        <w:rPr/>
        <w:t>est</w:t>
      </w:r>
      <w:r>
        <w:rPr>
          <w:spacing w:val="1"/>
        </w:rPr>
        <w:t> </w:t>
      </w:r>
      <w:r>
        <w:rPr>
          <w:spacing w:val="-2"/>
        </w:rPr>
        <w:t>rejetée.</w:t>
      </w:r>
    </w:p>
    <w:sectPr>
      <w:pgSz w:w="11910" w:h="16840"/>
      <w:pgMar w:header="0" w:footer="840" w:top="1900" w:bottom="1040" w:left="1417"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Trebuchet MS">
    <w:altName w:val="Trebuchet MS"/>
    <w:charset w:val="1"/>
    <w:family w:val="swiss"/>
    <w:pitch w:val="variable"/>
  </w:font>
  <w:font w:name="Cambria">
    <w:altName w:val="Cambr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432704">
          <wp:simplePos x="0" y="0"/>
          <wp:positionH relativeFrom="page">
            <wp:posOffset>0</wp:posOffset>
          </wp:positionH>
          <wp:positionV relativeFrom="page">
            <wp:posOffset>10112905</wp:posOffset>
          </wp:positionV>
          <wp:extent cx="7560360" cy="579094"/>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1" cstate="print"/>
                  <a:stretch>
                    <a:fillRect/>
                  </a:stretch>
                </pic:blipFill>
                <pic:spPr>
                  <a:xfrm>
                    <a:off x="0" y="0"/>
                    <a:ext cx="7560360" cy="57909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433216">
              <wp:simplePos x="0" y="0"/>
              <wp:positionH relativeFrom="page">
                <wp:posOffset>3712209</wp:posOffset>
              </wp:positionH>
              <wp:positionV relativeFrom="page">
                <wp:posOffset>10018785</wp:posOffset>
              </wp:positionV>
              <wp:extent cx="139700" cy="1524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9700" cy="152400"/>
                      </a:xfrm>
                      <a:prstGeom prst="rect">
                        <a:avLst/>
                      </a:prstGeom>
                    </wps:spPr>
                    <wps:txbx>
                      <w:txbxContent>
                        <w:p>
                          <w:pPr>
                            <w:spacing w:before="12"/>
                            <w:ind w:left="20" w:right="0" w:firstLine="0"/>
                            <w:jc w:val="left"/>
                            <w:rPr>
                              <w:sz w:val="18"/>
                            </w:rPr>
                          </w:pPr>
                          <w:r>
                            <w:rPr>
                              <w:color w:val="7F7F7F"/>
                              <w:spacing w:val="-5"/>
                              <w:sz w:val="18"/>
                            </w:rPr>
                            <w:fldChar w:fldCharType="begin"/>
                          </w:r>
                          <w:r>
                            <w:rPr>
                              <w:color w:val="7F7F7F"/>
                              <w:spacing w:val="-5"/>
                              <w:sz w:val="18"/>
                            </w:rPr>
                            <w:instrText> PAGE </w:instrText>
                          </w:r>
                          <w:r>
                            <w:rPr>
                              <w:color w:val="7F7F7F"/>
                              <w:spacing w:val="-5"/>
                              <w:sz w:val="18"/>
                            </w:rPr>
                            <w:fldChar w:fldCharType="separate"/>
                          </w:r>
                          <w:r>
                            <w:rPr>
                              <w:color w:val="7F7F7F"/>
                              <w:spacing w:val="-5"/>
                              <w:sz w:val="18"/>
                            </w:rPr>
                            <w:t>10</w:t>
                          </w:r>
                          <w:r>
                            <w:rPr>
                              <w:color w:val="7F7F7F"/>
                              <w:spacing w:val="-5"/>
                              <w:sz w:val="18"/>
                            </w:rPr>
                            <w:fldChar w:fldCharType="end"/>
                          </w:r>
                        </w:p>
                      </w:txbxContent>
                    </wps:txbx>
                    <wps:bodyPr wrap="square" lIns="0" tIns="0" rIns="0" bIns="0" rtlCol="0">
                      <a:noAutofit/>
                    </wps:bodyPr>
                  </wps:wsp>
                </a:graphicData>
              </a:graphic>
            </wp:anchor>
          </w:drawing>
        </mc:Choice>
        <mc:Fallback>
          <w:pict>
            <v:shape style="position:absolute;margin-left:292.299988pt;margin-top:788.880737pt;width:11pt;height:12pt;mso-position-horizontal-relative:page;mso-position-vertical-relative:page;z-index:-15883264" type="#_x0000_t202" id="docshape2" filled="false" stroked="false">
              <v:textbox inset="0,0,0,0">
                <w:txbxContent>
                  <w:p>
                    <w:pPr>
                      <w:spacing w:before="12"/>
                      <w:ind w:left="20" w:right="0" w:firstLine="0"/>
                      <w:jc w:val="left"/>
                      <w:rPr>
                        <w:sz w:val="18"/>
                      </w:rPr>
                    </w:pPr>
                    <w:r>
                      <w:rPr>
                        <w:color w:val="7F7F7F"/>
                        <w:spacing w:val="-5"/>
                        <w:sz w:val="18"/>
                      </w:rPr>
                      <w:fldChar w:fldCharType="begin"/>
                    </w:r>
                    <w:r>
                      <w:rPr>
                        <w:color w:val="7F7F7F"/>
                        <w:spacing w:val="-5"/>
                        <w:sz w:val="18"/>
                      </w:rPr>
                      <w:instrText> PAGE </w:instrText>
                    </w:r>
                    <w:r>
                      <w:rPr>
                        <w:color w:val="7F7F7F"/>
                        <w:spacing w:val="-5"/>
                        <w:sz w:val="18"/>
                      </w:rPr>
                      <w:fldChar w:fldCharType="separate"/>
                    </w:r>
                    <w:r>
                      <w:rPr>
                        <w:color w:val="7F7F7F"/>
                        <w:spacing w:val="-5"/>
                        <w:sz w:val="18"/>
                      </w:rPr>
                      <w:t>10</w:t>
                    </w:r>
                    <w:r>
                      <w:rPr>
                        <w:color w:val="7F7F7F"/>
                        <w:spacing w:val="-5"/>
                        <w:sz w:val="1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723" w:hanging="426"/>
      </w:pPr>
      <w:rPr>
        <w:rFonts w:hint="default" w:ascii="Trebuchet MS" w:hAnsi="Trebuchet MS" w:eastAsia="Trebuchet MS" w:cs="Trebuchet MS"/>
        <w:b w:val="0"/>
        <w:bCs w:val="0"/>
        <w:i w:val="0"/>
        <w:iCs w:val="0"/>
        <w:spacing w:val="0"/>
        <w:w w:val="98"/>
        <w:sz w:val="24"/>
        <w:szCs w:val="24"/>
        <w:lang w:val="fr-FR" w:eastAsia="en-US" w:bidi="ar-SA"/>
      </w:rPr>
    </w:lvl>
    <w:lvl w:ilvl="1">
      <w:start w:val="0"/>
      <w:numFmt w:val="bullet"/>
      <w:lvlText w:val="•"/>
      <w:lvlJc w:val="left"/>
      <w:pPr>
        <w:ind w:left="1569" w:hanging="426"/>
      </w:pPr>
      <w:rPr>
        <w:rFonts w:hint="default"/>
        <w:lang w:val="fr-FR" w:eastAsia="en-US" w:bidi="ar-SA"/>
      </w:rPr>
    </w:lvl>
    <w:lvl w:ilvl="2">
      <w:start w:val="0"/>
      <w:numFmt w:val="bullet"/>
      <w:lvlText w:val="•"/>
      <w:lvlJc w:val="left"/>
      <w:pPr>
        <w:ind w:left="2418" w:hanging="426"/>
      </w:pPr>
      <w:rPr>
        <w:rFonts w:hint="default"/>
        <w:lang w:val="fr-FR" w:eastAsia="en-US" w:bidi="ar-SA"/>
      </w:rPr>
    </w:lvl>
    <w:lvl w:ilvl="3">
      <w:start w:val="0"/>
      <w:numFmt w:val="bullet"/>
      <w:lvlText w:val="•"/>
      <w:lvlJc w:val="left"/>
      <w:pPr>
        <w:ind w:left="3268" w:hanging="426"/>
      </w:pPr>
      <w:rPr>
        <w:rFonts w:hint="default"/>
        <w:lang w:val="fr-FR" w:eastAsia="en-US" w:bidi="ar-SA"/>
      </w:rPr>
    </w:lvl>
    <w:lvl w:ilvl="4">
      <w:start w:val="0"/>
      <w:numFmt w:val="bullet"/>
      <w:lvlText w:val="•"/>
      <w:lvlJc w:val="left"/>
      <w:pPr>
        <w:ind w:left="4117" w:hanging="426"/>
      </w:pPr>
      <w:rPr>
        <w:rFonts w:hint="default"/>
        <w:lang w:val="fr-FR" w:eastAsia="en-US" w:bidi="ar-SA"/>
      </w:rPr>
    </w:lvl>
    <w:lvl w:ilvl="5">
      <w:start w:val="0"/>
      <w:numFmt w:val="bullet"/>
      <w:lvlText w:val="•"/>
      <w:lvlJc w:val="left"/>
      <w:pPr>
        <w:ind w:left="4967" w:hanging="426"/>
      </w:pPr>
      <w:rPr>
        <w:rFonts w:hint="default"/>
        <w:lang w:val="fr-FR" w:eastAsia="en-US" w:bidi="ar-SA"/>
      </w:rPr>
    </w:lvl>
    <w:lvl w:ilvl="6">
      <w:start w:val="0"/>
      <w:numFmt w:val="bullet"/>
      <w:lvlText w:val="•"/>
      <w:lvlJc w:val="left"/>
      <w:pPr>
        <w:ind w:left="5816" w:hanging="426"/>
      </w:pPr>
      <w:rPr>
        <w:rFonts w:hint="default"/>
        <w:lang w:val="fr-FR" w:eastAsia="en-US" w:bidi="ar-SA"/>
      </w:rPr>
    </w:lvl>
    <w:lvl w:ilvl="7">
      <w:start w:val="0"/>
      <w:numFmt w:val="bullet"/>
      <w:lvlText w:val="•"/>
      <w:lvlJc w:val="left"/>
      <w:pPr>
        <w:ind w:left="6665" w:hanging="426"/>
      </w:pPr>
      <w:rPr>
        <w:rFonts w:hint="default"/>
        <w:lang w:val="fr-FR" w:eastAsia="en-US" w:bidi="ar-SA"/>
      </w:rPr>
    </w:lvl>
    <w:lvl w:ilvl="8">
      <w:start w:val="0"/>
      <w:numFmt w:val="bullet"/>
      <w:lvlText w:val="•"/>
      <w:lvlJc w:val="left"/>
      <w:pPr>
        <w:ind w:left="7515" w:hanging="426"/>
      </w:pPr>
      <w:rPr>
        <w:rFonts w:hint="default"/>
        <w:lang w:val="fr-FR" w:eastAsia="en-US" w:bidi="ar-SA"/>
      </w:rPr>
    </w:lvl>
  </w:abstractNum>
  <w:abstractNum w:abstractNumId="1">
    <w:multiLevelType w:val="hybridMultilevel"/>
    <w:lvl w:ilvl="0">
      <w:start w:val="1"/>
      <w:numFmt w:val="upperLetter"/>
      <w:lvlText w:val="%1."/>
      <w:lvlJc w:val="left"/>
      <w:pPr>
        <w:ind w:left="571" w:hanging="326"/>
        <w:jc w:val="right"/>
      </w:pPr>
      <w:rPr>
        <w:rFonts w:hint="default" w:ascii="Cambria" w:hAnsi="Cambria" w:eastAsia="Cambria" w:cs="Cambria"/>
        <w:b/>
        <w:bCs/>
        <w:i w:val="0"/>
        <w:iCs w:val="0"/>
        <w:spacing w:val="-2"/>
        <w:w w:val="104"/>
        <w:sz w:val="24"/>
        <w:szCs w:val="24"/>
        <w:lang w:val="fr-FR" w:eastAsia="en-US" w:bidi="ar-SA"/>
      </w:rPr>
    </w:lvl>
    <w:lvl w:ilvl="1">
      <w:start w:val="0"/>
      <w:numFmt w:val="bullet"/>
      <w:lvlText w:val="•"/>
      <w:lvlJc w:val="left"/>
      <w:pPr>
        <w:ind w:left="1443" w:hanging="326"/>
      </w:pPr>
      <w:rPr>
        <w:rFonts w:hint="default"/>
        <w:lang w:val="fr-FR" w:eastAsia="en-US" w:bidi="ar-SA"/>
      </w:rPr>
    </w:lvl>
    <w:lvl w:ilvl="2">
      <w:start w:val="0"/>
      <w:numFmt w:val="bullet"/>
      <w:lvlText w:val="•"/>
      <w:lvlJc w:val="left"/>
      <w:pPr>
        <w:ind w:left="2306" w:hanging="326"/>
      </w:pPr>
      <w:rPr>
        <w:rFonts w:hint="default"/>
        <w:lang w:val="fr-FR" w:eastAsia="en-US" w:bidi="ar-SA"/>
      </w:rPr>
    </w:lvl>
    <w:lvl w:ilvl="3">
      <w:start w:val="0"/>
      <w:numFmt w:val="bullet"/>
      <w:lvlText w:val="•"/>
      <w:lvlJc w:val="left"/>
      <w:pPr>
        <w:ind w:left="3170" w:hanging="326"/>
      </w:pPr>
      <w:rPr>
        <w:rFonts w:hint="default"/>
        <w:lang w:val="fr-FR" w:eastAsia="en-US" w:bidi="ar-SA"/>
      </w:rPr>
    </w:lvl>
    <w:lvl w:ilvl="4">
      <w:start w:val="0"/>
      <w:numFmt w:val="bullet"/>
      <w:lvlText w:val="•"/>
      <w:lvlJc w:val="left"/>
      <w:pPr>
        <w:ind w:left="4033" w:hanging="326"/>
      </w:pPr>
      <w:rPr>
        <w:rFonts w:hint="default"/>
        <w:lang w:val="fr-FR" w:eastAsia="en-US" w:bidi="ar-SA"/>
      </w:rPr>
    </w:lvl>
    <w:lvl w:ilvl="5">
      <w:start w:val="0"/>
      <w:numFmt w:val="bullet"/>
      <w:lvlText w:val="•"/>
      <w:lvlJc w:val="left"/>
      <w:pPr>
        <w:ind w:left="4897" w:hanging="326"/>
      </w:pPr>
      <w:rPr>
        <w:rFonts w:hint="default"/>
        <w:lang w:val="fr-FR" w:eastAsia="en-US" w:bidi="ar-SA"/>
      </w:rPr>
    </w:lvl>
    <w:lvl w:ilvl="6">
      <w:start w:val="0"/>
      <w:numFmt w:val="bullet"/>
      <w:lvlText w:val="•"/>
      <w:lvlJc w:val="left"/>
      <w:pPr>
        <w:ind w:left="5760" w:hanging="326"/>
      </w:pPr>
      <w:rPr>
        <w:rFonts w:hint="default"/>
        <w:lang w:val="fr-FR" w:eastAsia="en-US" w:bidi="ar-SA"/>
      </w:rPr>
    </w:lvl>
    <w:lvl w:ilvl="7">
      <w:start w:val="0"/>
      <w:numFmt w:val="bullet"/>
      <w:lvlText w:val="•"/>
      <w:lvlJc w:val="left"/>
      <w:pPr>
        <w:ind w:left="6623" w:hanging="326"/>
      </w:pPr>
      <w:rPr>
        <w:rFonts w:hint="default"/>
        <w:lang w:val="fr-FR" w:eastAsia="en-US" w:bidi="ar-SA"/>
      </w:rPr>
    </w:lvl>
    <w:lvl w:ilvl="8">
      <w:start w:val="0"/>
      <w:numFmt w:val="bullet"/>
      <w:lvlText w:val="•"/>
      <w:lvlJc w:val="left"/>
      <w:pPr>
        <w:ind w:left="7487" w:hanging="326"/>
      </w:pPr>
      <w:rPr>
        <w:rFonts w:hint="default"/>
        <w:lang w:val="fr-FR" w:eastAsia="en-US" w:bidi="ar-SA"/>
      </w:rPr>
    </w:lvl>
  </w:abstractNum>
  <w:abstractNum w:abstractNumId="0">
    <w:multiLevelType w:val="hybridMultilevel"/>
    <w:lvl w:ilvl="0">
      <w:start w:val="0"/>
      <w:numFmt w:val="bullet"/>
      <w:lvlText w:val="-"/>
      <w:lvlJc w:val="left"/>
      <w:pPr>
        <w:ind w:left="723" w:hanging="360"/>
      </w:pPr>
      <w:rPr>
        <w:rFonts w:hint="default" w:ascii="Arial MT" w:hAnsi="Arial MT" w:eastAsia="Arial MT" w:cs="Arial MT"/>
        <w:b w:val="0"/>
        <w:bCs w:val="0"/>
        <w:i w:val="0"/>
        <w:iCs w:val="0"/>
        <w:spacing w:val="0"/>
        <w:w w:val="100"/>
        <w:sz w:val="24"/>
        <w:szCs w:val="24"/>
        <w:lang w:val="fr-FR" w:eastAsia="en-US" w:bidi="ar-SA"/>
      </w:rPr>
    </w:lvl>
    <w:lvl w:ilvl="1">
      <w:start w:val="0"/>
      <w:numFmt w:val="bullet"/>
      <w:lvlText w:val="•"/>
      <w:lvlJc w:val="left"/>
      <w:pPr>
        <w:ind w:left="1569" w:hanging="360"/>
      </w:pPr>
      <w:rPr>
        <w:rFonts w:hint="default"/>
        <w:lang w:val="fr-FR" w:eastAsia="en-US" w:bidi="ar-SA"/>
      </w:rPr>
    </w:lvl>
    <w:lvl w:ilvl="2">
      <w:start w:val="0"/>
      <w:numFmt w:val="bullet"/>
      <w:lvlText w:val="•"/>
      <w:lvlJc w:val="left"/>
      <w:pPr>
        <w:ind w:left="2418" w:hanging="360"/>
      </w:pPr>
      <w:rPr>
        <w:rFonts w:hint="default"/>
        <w:lang w:val="fr-FR" w:eastAsia="en-US" w:bidi="ar-SA"/>
      </w:rPr>
    </w:lvl>
    <w:lvl w:ilvl="3">
      <w:start w:val="0"/>
      <w:numFmt w:val="bullet"/>
      <w:lvlText w:val="•"/>
      <w:lvlJc w:val="left"/>
      <w:pPr>
        <w:ind w:left="3268" w:hanging="360"/>
      </w:pPr>
      <w:rPr>
        <w:rFonts w:hint="default"/>
        <w:lang w:val="fr-FR" w:eastAsia="en-US" w:bidi="ar-SA"/>
      </w:rPr>
    </w:lvl>
    <w:lvl w:ilvl="4">
      <w:start w:val="0"/>
      <w:numFmt w:val="bullet"/>
      <w:lvlText w:val="•"/>
      <w:lvlJc w:val="left"/>
      <w:pPr>
        <w:ind w:left="4117" w:hanging="360"/>
      </w:pPr>
      <w:rPr>
        <w:rFonts w:hint="default"/>
        <w:lang w:val="fr-FR" w:eastAsia="en-US" w:bidi="ar-SA"/>
      </w:rPr>
    </w:lvl>
    <w:lvl w:ilvl="5">
      <w:start w:val="0"/>
      <w:numFmt w:val="bullet"/>
      <w:lvlText w:val="•"/>
      <w:lvlJc w:val="left"/>
      <w:pPr>
        <w:ind w:left="4967" w:hanging="360"/>
      </w:pPr>
      <w:rPr>
        <w:rFonts w:hint="default"/>
        <w:lang w:val="fr-FR" w:eastAsia="en-US" w:bidi="ar-SA"/>
      </w:rPr>
    </w:lvl>
    <w:lvl w:ilvl="6">
      <w:start w:val="0"/>
      <w:numFmt w:val="bullet"/>
      <w:lvlText w:val="•"/>
      <w:lvlJc w:val="left"/>
      <w:pPr>
        <w:ind w:left="5816" w:hanging="360"/>
      </w:pPr>
      <w:rPr>
        <w:rFonts w:hint="default"/>
        <w:lang w:val="fr-FR" w:eastAsia="en-US" w:bidi="ar-SA"/>
      </w:rPr>
    </w:lvl>
    <w:lvl w:ilvl="7">
      <w:start w:val="0"/>
      <w:numFmt w:val="bullet"/>
      <w:lvlText w:val="•"/>
      <w:lvlJc w:val="left"/>
      <w:pPr>
        <w:ind w:left="6665" w:hanging="360"/>
      </w:pPr>
      <w:rPr>
        <w:rFonts w:hint="default"/>
        <w:lang w:val="fr-FR" w:eastAsia="en-US" w:bidi="ar-SA"/>
      </w:rPr>
    </w:lvl>
    <w:lvl w:ilvl="8">
      <w:start w:val="0"/>
      <w:numFmt w:val="bullet"/>
      <w:lvlText w:val="•"/>
      <w:lvlJc w:val="left"/>
      <w:pPr>
        <w:ind w:left="7515" w:hanging="360"/>
      </w:pPr>
      <w:rPr>
        <w:rFonts w:hint="default"/>
        <w:lang w:val="fr-FR"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fr-FR"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fr-FR" w:eastAsia="en-US" w:bidi="ar-SA"/>
    </w:rPr>
  </w:style>
  <w:style w:styleId="Heading1" w:type="paragraph">
    <w:name w:val="Heading 1"/>
    <w:basedOn w:val="Normal"/>
    <w:uiPriority w:val="1"/>
    <w:qFormat/>
    <w:pPr>
      <w:ind w:left="711"/>
      <w:outlineLvl w:val="1"/>
    </w:pPr>
    <w:rPr>
      <w:rFonts w:ascii="Cambria" w:hAnsi="Cambria" w:eastAsia="Cambria" w:cs="Cambria"/>
      <w:b/>
      <w:bCs/>
      <w:sz w:val="24"/>
      <w:szCs w:val="24"/>
      <w:lang w:val="fr-FR" w:eastAsia="en-US" w:bidi="ar-SA"/>
    </w:rPr>
  </w:style>
  <w:style w:styleId="ListParagraph" w:type="paragraph">
    <w:name w:val="List Paragraph"/>
    <w:basedOn w:val="Normal"/>
    <w:uiPriority w:val="1"/>
    <w:qFormat/>
    <w:pPr>
      <w:ind w:left="723" w:right="144" w:hanging="360"/>
    </w:pPr>
    <w:rPr>
      <w:rFonts w:ascii="Times New Roman" w:hAnsi="Times New Roman" w:eastAsia="Times New Roman" w:cs="Times New Roman"/>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oter" Target="footer1.xml"/><Relationship Id="rId8" Type="http://schemas.openxmlformats.org/officeDocument/2006/relationships/image" Target="media/image3.png"/><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2025-06-12T12:38:38Z</dcterms:created>
  <dcterms:modified xsi:type="dcterms:W3CDTF">2025-06-12T12:38:38Z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2025-02-03T00:00:00Z</vt:filetime>
  </property>
  <property fmtid="{D5CDD505-2E9C-101B-9397-08002B2CF9AE}" pid="3" name="LastSaved">
    <vt:filetime>2025-06-12T00:00:00Z</vt:filetime>
  </property>
  <property fmtid="{D5CDD505-2E9C-101B-9397-08002B2CF9AE}" pid="4" name="Producer">
    <vt:lpwstr>PyPDF2</vt:lpwstr>
  </property>
</Properties>
</file>